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99D6" w14:textId="77777777" w:rsidR="00276F93" w:rsidRPr="00276F93" w:rsidRDefault="00276F93" w:rsidP="000F4FD4">
      <w:pPr>
        <w:spacing w:before="120" w:line="276" w:lineRule="auto"/>
        <w:jc w:val="center"/>
        <w:rPr>
          <w:rFonts w:cs="Arial"/>
          <w:b/>
          <w:sz w:val="28"/>
          <w:szCs w:val="28"/>
        </w:rPr>
      </w:pPr>
      <w:bookmarkStart w:id="0" w:name="_Toc181708547"/>
      <w:r w:rsidRPr="00276F93">
        <w:rPr>
          <w:rFonts w:cs="Arial"/>
          <w:b/>
          <w:sz w:val="28"/>
          <w:szCs w:val="28"/>
        </w:rPr>
        <w:t>COURSE OUTLINE</w:t>
      </w:r>
    </w:p>
    <w:p w14:paraId="53557DE2" w14:textId="77777777" w:rsidR="006B36B1" w:rsidRDefault="006B36B1" w:rsidP="00045AA2"/>
    <w:p w14:paraId="11CB2A76" w14:textId="77777777" w:rsidR="00045AA2" w:rsidRPr="00045AA2" w:rsidRDefault="00045AA2" w:rsidP="00045AA2"/>
    <w:p w14:paraId="3A289ECD" w14:textId="77777777" w:rsidR="000F4FD4" w:rsidRPr="00045AA2" w:rsidRDefault="00972D53" w:rsidP="00045AA2">
      <w:pPr>
        <w:rPr>
          <w:b/>
        </w:rPr>
      </w:pPr>
      <w:r w:rsidRPr="00045AA2">
        <w:rPr>
          <w:b/>
        </w:rPr>
        <w:t xml:space="preserve">(1) </w:t>
      </w:r>
      <w:r w:rsidR="00276F93" w:rsidRPr="00045AA2">
        <w:rPr>
          <w:b/>
        </w:rPr>
        <w:t>GENERAL</w:t>
      </w:r>
    </w:p>
    <w:p w14:paraId="4360DF36" w14:textId="77777777" w:rsidR="00045AA2" w:rsidRPr="00045AA2" w:rsidRDefault="00045AA2" w:rsidP="00045AA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134"/>
        <w:gridCol w:w="943"/>
        <w:gridCol w:w="2505"/>
        <w:gridCol w:w="351"/>
        <w:gridCol w:w="1871"/>
      </w:tblGrid>
      <w:tr w:rsidR="00D8525B" w:rsidRPr="00D8525B" w14:paraId="1CB619C4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765FF20E" w14:textId="77777777" w:rsidR="000F4FD4" w:rsidRPr="00D8525B" w:rsidRDefault="00276F93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UNIVERSITY / Department</w:t>
            </w:r>
          </w:p>
        </w:tc>
        <w:tc>
          <w:tcPr>
            <w:tcW w:w="6804" w:type="dxa"/>
            <w:gridSpan w:val="5"/>
          </w:tcPr>
          <w:p w14:paraId="59D60250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 xml:space="preserve">NATIONAL AND KAPODISTRIAN UNIVERSITY OF ATHENS </w:t>
            </w:r>
            <w:proofErr w:type="gramStart"/>
            <w:r w:rsidRPr="00D8525B">
              <w:rPr>
                <w:rFonts w:cstheme="minorHAnsi"/>
                <w:sz w:val="20"/>
                <w:szCs w:val="20"/>
                <w:lang w:val="en-US"/>
              </w:rPr>
              <w:t>/  Department</w:t>
            </w:r>
            <w:proofErr w:type="gramEnd"/>
            <w:r w:rsidRPr="00D8525B">
              <w:rPr>
                <w:rFonts w:cstheme="minorHAnsi"/>
                <w:sz w:val="20"/>
                <w:szCs w:val="20"/>
                <w:lang w:val="en-US"/>
              </w:rPr>
              <w:t xml:space="preserve"> of History and Philosophy of Science </w:t>
            </w:r>
          </w:p>
          <w:p w14:paraId="0223A164" w14:textId="77777777" w:rsidR="00276F93" w:rsidRPr="00D8525B" w:rsidRDefault="00276F93" w:rsidP="00276F93">
            <w:pPr>
              <w:rPr>
                <w:rFonts w:cstheme="minorHAnsi"/>
                <w:sz w:val="20"/>
                <w:szCs w:val="20"/>
              </w:rPr>
            </w:pPr>
            <w:r w:rsidRPr="00D8525B">
              <w:rPr>
                <w:rFonts w:cstheme="minorHAnsi"/>
                <w:sz w:val="20"/>
                <w:szCs w:val="20"/>
              </w:rPr>
              <w:t>in collaboration with:</w:t>
            </w:r>
          </w:p>
          <w:p w14:paraId="2BF32324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>ARISTOTLE UNIVERSITY OF THESSALONIKI / Department of Philosophy and Education</w:t>
            </w:r>
          </w:p>
          <w:p w14:paraId="2997DD32" w14:textId="77777777" w:rsidR="00276F93" w:rsidRPr="00D8525B" w:rsidRDefault="00276F93" w:rsidP="00276F9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>UNIVERSITY OF PATRAS / Department of Philosophy</w:t>
            </w:r>
          </w:p>
          <w:p w14:paraId="420D8BB9" w14:textId="77777777" w:rsidR="000F4FD4" w:rsidRPr="00D8525B" w:rsidRDefault="00276F93" w:rsidP="009C028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D8525B">
              <w:rPr>
                <w:rFonts w:cstheme="minorHAnsi"/>
                <w:sz w:val="20"/>
                <w:szCs w:val="20"/>
                <w:lang w:val="en-US"/>
              </w:rPr>
              <w:t xml:space="preserve">UNIVERSITY OF CRETE / Department of Philosophy and Social Studies </w:t>
            </w:r>
          </w:p>
        </w:tc>
      </w:tr>
      <w:tr w:rsidR="00D8525B" w:rsidRPr="00D8525B" w14:paraId="676D3AB8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11073AB7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STUDY LEVEL</w:t>
            </w:r>
          </w:p>
        </w:tc>
        <w:tc>
          <w:tcPr>
            <w:tcW w:w="6804" w:type="dxa"/>
            <w:gridSpan w:val="5"/>
          </w:tcPr>
          <w:p w14:paraId="5D642F08" w14:textId="77777777" w:rsidR="000F4FD4" w:rsidRPr="00D8525B" w:rsidRDefault="009C028C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Postgraduate</w:t>
            </w:r>
          </w:p>
        </w:tc>
      </w:tr>
      <w:tr w:rsidR="00D8525B" w:rsidRPr="00D8525B" w14:paraId="2352B326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64728580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2077" w:type="dxa"/>
            <w:gridSpan w:val="2"/>
          </w:tcPr>
          <w:p w14:paraId="1878657B" w14:textId="7CE4B4F5" w:rsidR="000F4FD4" w:rsidRPr="00D8525B" w:rsidRDefault="00DD241B" w:rsidP="009C0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505" w:type="dxa"/>
            <w:shd w:val="clear" w:color="auto" w:fill="DDD9C3" w:themeFill="background2" w:themeFillShade="E6"/>
          </w:tcPr>
          <w:p w14:paraId="5DD9DB53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SEMESTER OF STUDY</w:t>
            </w:r>
          </w:p>
        </w:tc>
        <w:tc>
          <w:tcPr>
            <w:tcW w:w="2222" w:type="dxa"/>
            <w:gridSpan w:val="2"/>
          </w:tcPr>
          <w:p w14:paraId="09BFEF79" w14:textId="77777777" w:rsidR="000F4FD4" w:rsidRPr="00D8525B" w:rsidRDefault="009C028C" w:rsidP="009C028C">
            <w:pPr>
              <w:rPr>
                <w:sz w:val="20"/>
                <w:szCs w:val="20"/>
              </w:rPr>
            </w:pPr>
            <w:r w:rsidRPr="00D8525B">
              <w:rPr>
                <w:sz w:val="20"/>
                <w:szCs w:val="20"/>
              </w:rPr>
              <w:t xml:space="preserve">1st </w:t>
            </w:r>
          </w:p>
        </w:tc>
      </w:tr>
      <w:tr w:rsidR="00D8525B" w:rsidRPr="00D8525B" w14:paraId="797F0AC3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36AF8981" w14:textId="77777777" w:rsidR="000F4FD4" w:rsidRPr="00D8525B" w:rsidRDefault="009C028C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 xml:space="preserve">COURSE TITLE </w:t>
            </w:r>
          </w:p>
        </w:tc>
        <w:tc>
          <w:tcPr>
            <w:tcW w:w="6804" w:type="dxa"/>
            <w:gridSpan w:val="5"/>
            <w:vAlign w:val="center"/>
          </w:tcPr>
          <w:p w14:paraId="073AE565" w14:textId="77777777" w:rsidR="000F4FD4" w:rsidRPr="00D8525B" w:rsidRDefault="009637D4" w:rsidP="009C0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PLATO</w:t>
            </w:r>
          </w:p>
        </w:tc>
      </w:tr>
      <w:tr w:rsidR="00151016" w:rsidRPr="00D8525B" w14:paraId="7E07C0E9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19CCC817" w14:textId="77777777" w:rsidR="00151016" w:rsidRPr="00D8525B" w:rsidRDefault="00151016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INSTRUCTOR(S)</w:t>
            </w:r>
          </w:p>
        </w:tc>
        <w:tc>
          <w:tcPr>
            <w:tcW w:w="6804" w:type="dxa"/>
            <w:gridSpan w:val="5"/>
            <w:vAlign w:val="center"/>
          </w:tcPr>
          <w:p w14:paraId="6024C789" w14:textId="77777777" w:rsidR="00151016" w:rsidRPr="00D8525B" w:rsidRDefault="009637D4" w:rsidP="009C0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Georgia Sermamoglou-Soulmaidi</w:t>
            </w:r>
          </w:p>
        </w:tc>
      </w:tr>
      <w:tr w:rsidR="00D8525B" w:rsidRPr="00D8525B" w14:paraId="0F1564F3" w14:textId="77777777" w:rsidTr="003575C7">
        <w:trPr>
          <w:trHeight w:val="283"/>
        </w:trPr>
        <w:tc>
          <w:tcPr>
            <w:tcW w:w="3397" w:type="dxa"/>
            <w:gridSpan w:val="2"/>
            <w:shd w:val="clear" w:color="auto" w:fill="DDD9C3" w:themeFill="background2" w:themeFillShade="E6"/>
            <w:vAlign w:val="center"/>
          </w:tcPr>
          <w:p w14:paraId="0A80AB4D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TEACHING ACTIVITIES</w:t>
            </w:r>
          </w:p>
        </w:tc>
        <w:tc>
          <w:tcPr>
            <w:tcW w:w="3799" w:type="dxa"/>
            <w:gridSpan w:val="3"/>
            <w:shd w:val="clear" w:color="auto" w:fill="DDD9C3" w:themeFill="background2" w:themeFillShade="E6"/>
            <w:vAlign w:val="center"/>
          </w:tcPr>
          <w:p w14:paraId="053857CF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TEACHING HOURS PER WEEK</w:t>
            </w:r>
          </w:p>
        </w:tc>
        <w:tc>
          <w:tcPr>
            <w:tcW w:w="1871" w:type="dxa"/>
            <w:shd w:val="clear" w:color="auto" w:fill="DDD9C3" w:themeFill="background2" w:themeFillShade="E6"/>
            <w:vAlign w:val="center"/>
          </w:tcPr>
          <w:p w14:paraId="5D8D4177" w14:textId="77777777" w:rsidR="000F4FD4" w:rsidRPr="00D8525B" w:rsidRDefault="00C5277B" w:rsidP="007673F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ECTS</w:t>
            </w:r>
          </w:p>
        </w:tc>
      </w:tr>
      <w:tr w:rsidR="00D8525B" w:rsidRPr="00D8525B" w14:paraId="5629F5E6" w14:textId="77777777" w:rsidTr="003575C7">
        <w:trPr>
          <w:trHeight w:val="283"/>
        </w:trPr>
        <w:tc>
          <w:tcPr>
            <w:tcW w:w="3397" w:type="dxa"/>
            <w:gridSpan w:val="2"/>
          </w:tcPr>
          <w:p w14:paraId="42CE7546" w14:textId="77777777" w:rsidR="000F4FD4" w:rsidRPr="00D8525B" w:rsidRDefault="00F60657" w:rsidP="00F60657">
            <w:pPr>
              <w:jc w:val="center"/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Seminars</w:t>
            </w:r>
          </w:p>
        </w:tc>
        <w:tc>
          <w:tcPr>
            <w:tcW w:w="3799" w:type="dxa"/>
            <w:gridSpan w:val="3"/>
          </w:tcPr>
          <w:p w14:paraId="0575E4B6" w14:textId="77777777" w:rsidR="000F4FD4" w:rsidRPr="00D8525B" w:rsidRDefault="003D1F5D" w:rsidP="00F60657">
            <w:pPr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1871" w:type="dxa"/>
          </w:tcPr>
          <w:p w14:paraId="16D3CB46" w14:textId="77777777" w:rsidR="000F4FD4" w:rsidRPr="00D8525B" w:rsidRDefault="003D1F5D" w:rsidP="00F60657">
            <w:pPr>
              <w:jc w:val="center"/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10</w:t>
            </w:r>
          </w:p>
        </w:tc>
      </w:tr>
      <w:tr w:rsidR="00D8525B" w:rsidRPr="00D8525B" w14:paraId="6C7D3B5A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22CB5E9C" w14:textId="77777777" w:rsidR="000F4FD4" w:rsidRPr="00D8525B" w:rsidRDefault="00F60657" w:rsidP="00F60657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8525B">
              <w:rPr>
                <w:rFonts w:cs="Arial"/>
                <w:b/>
                <w:sz w:val="20"/>
                <w:szCs w:val="20"/>
              </w:rPr>
              <w:t>COURSE TYPE</w:t>
            </w:r>
          </w:p>
        </w:tc>
        <w:tc>
          <w:tcPr>
            <w:tcW w:w="6804" w:type="dxa"/>
            <w:gridSpan w:val="5"/>
          </w:tcPr>
          <w:p w14:paraId="6EF94948" w14:textId="77777777" w:rsidR="000F4FD4" w:rsidRPr="00D8525B" w:rsidRDefault="00F60657" w:rsidP="00F60657">
            <w:pPr>
              <w:rPr>
                <w:sz w:val="20"/>
                <w:szCs w:val="20"/>
              </w:rPr>
            </w:pPr>
            <w:r w:rsidRPr="00D8525B">
              <w:rPr>
                <w:sz w:val="20"/>
                <w:szCs w:val="20"/>
              </w:rPr>
              <w:t>specialization, skills development</w:t>
            </w:r>
          </w:p>
        </w:tc>
      </w:tr>
      <w:tr w:rsidR="00D8525B" w:rsidRPr="00D8525B" w14:paraId="22DEE222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1B5AD0A0" w14:textId="77777777" w:rsidR="000F4FD4" w:rsidRPr="00D8525B" w:rsidRDefault="00F60657" w:rsidP="00F60657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PREREQUISITE COURSES</w:t>
            </w:r>
          </w:p>
        </w:tc>
        <w:tc>
          <w:tcPr>
            <w:tcW w:w="6804" w:type="dxa"/>
            <w:gridSpan w:val="5"/>
          </w:tcPr>
          <w:p w14:paraId="06025761" w14:textId="77777777" w:rsidR="000F4FD4" w:rsidRPr="00D8525B" w:rsidRDefault="00056B96" w:rsidP="007673F3">
            <w:pPr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–</w:t>
            </w:r>
          </w:p>
        </w:tc>
      </w:tr>
      <w:tr w:rsidR="00D8525B" w:rsidRPr="00D8525B" w14:paraId="4752F65C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5B95E72D" w14:textId="77777777" w:rsidR="000F4FD4" w:rsidRPr="00D8525B" w:rsidRDefault="00262D46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942E52">
              <w:rPr>
                <w:rFonts w:cs="Arial"/>
                <w:b/>
                <w:sz w:val="20"/>
                <w:szCs w:val="20"/>
              </w:rPr>
              <w:t>LANGUAGE OF INSTRUCTION and EXAMINATIONS</w:t>
            </w:r>
          </w:p>
        </w:tc>
        <w:tc>
          <w:tcPr>
            <w:tcW w:w="6804" w:type="dxa"/>
            <w:gridSpan w:val="5"/>
          </w:tcPr>
          <w:p w14:paraId="20D2855D" w14:textId="77777777" w:rsidR="000F4FD4" w:rsidRPr="00D8525B" w:rsidRDefault="00262D46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English</w:t>
            </w:r>
          </w:p>
        </w:tc>
      </w:tr>
      <w:tr w:rsidR="00D8525B" w:rsidRPr="00D8525B" w14:paraId="5D321E96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54C1FC64" w14:textId="77777777" w:rsidR="000F4FD4" w:rsidRPr="00942E52" w:rsidRDefault="00C401C5" w:rsidP="007673F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942E52">
              <w:rPr>
                <w:rFonts w:cs="Arial"/>
                <w:b/>
                <w:sz w:val="20"/>
                <w:szCs w:val="20"/>
              </w:rPr>
              <w:t>COURSE OFFERED TO ERASMUS STUDENTS</w:t>
            </w:r>
          </w:p>
        </w:tc>
        <w:tc>
          <w:tcPr>
            <w:tcW w:w="6804" w:type="dxa"/>
            <w:gridSpan w:val="5"/>
          </w:tcPr>
          <w:p w14:paraId="30FC616B" w14:textId="77777777" w:rsidR="000F4FD4" w:rsidRPr="00D8525B" w:rsidRDefault="00C401C5" w:rsidP="007673F3">
            <w:pPr>
              <w:rPr>
                <w:rFonts w:cs="Arial"/>
                <w:sz w:val="20"/>
                <w:szCs w:val="20"/>
              </w:rPr>
            </w:pPr>
            <w:r w:rsidRPr="00D8525B">
              <w:rPr>
                <w:rFonts w:cs="Arial"/>
                <w:sz w:val="20"/>
                <w:szCs w:val="20"/>
              </w:rPr>
              <w:t>No</w:t>
            </w:r>
          </w:p>
        </w:tc>
      </w:tr>
      <w:tr w:rsidR="00D8525B" w:rsidRPr="00D8525B" w14:paraId="4A77571D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66CC3CBA" w14:textId="77777777" w:rsidR="000F4FD4" w:rsidRPr="00D8525B" w:rsidRDefault="00C401C5" w:rsidP="007673F3">
            <w:pPr>
              <w:jc w:val="right"/>
              <w:rPr>
                <w:rFonts w:cs="Arial"/>
                <w:b/>
                <w:sz w:val="20"/>
                <w:szCs w:val="20"/>
                <w:lang w:val="en-GB"/>
              </w:rPr>
            </w:pPr>
            <w:r w:rsidRPr="00D8525B">
              <w:rPr>
                <w:rFonts w:cs="Arial"/>
                <w:b/>
                <w:sz w:val="20"/>
                <w:szCs w:val="20"/>
                <w:lang w:val="el-GR"/>
              </w:rPr>
              <w:t>COURSE WEBSITE (URL)</w:t>
            </w:r>
          </w:p>
        </w:tc>
        <w:tc>
          <w:tcPr>
            <w:tcW w:w="6804" w:type="dxa"/>
            <w:gridSpan w:val="5"/>
          </w:tcPr>
          <w:p w14:paraId="44429C6A" w14:textId="77777777" w:rsidR="000F4FD4" w:rsidRPr="00D8525B" w:rsidRDefault="00C401C5" w:rsidP="009326C0">
            <w:pPr>
              <w:rPr>
                <w:rFonts w:cs="Arial"/>
                <w:sz w:val="20"/>
                <w:szCs w:val="20"/>
                <w:lang w:val="el-GR"/>
              </w:rPr>
            </w:pPr>
            <w:r w:rsidRPr="00D8525B">
              <w:rPr>
                <w:rFonts w:cs="Arial"/>
                <w:sz w:val="20"/>
                <w:szCs w:val="20"/>
                <w:lang w:val="el-GR"/>
              </w:rPr>
              <w:t>++</w:t>
            </w:r>
          </w:p>
        </w:tc>
      </w:tr>
    </w:tbl>
    <w:p w14:paraId="5F55CDBF" w14:textId="77777777" w:rsidR="003575C7" w:rsidRDefault="003575C7" w:rsidP="00045AA2"/>
    <w:p w14:paraId="79C30CE6" w14:textId="77777777" w:rsidR="00045AA2" w:rsidRPr="00045AA2" w:rsidRDefault="00045AA2" w:rsidP="00045AA2"/>
    <w:p w14:paraId="4AD2BEB4" w14:textId="77777777" w:rsidR="000F4FD4" w:rsidRPr="00045AA2" w:rsidRDefault="00972D53" w:rsidP="00045AA2">
      <w:pPr>
        <w:rPr>
          <w:b/>
        </w:rPr>
      </w:pPr>
      <w:r w:rsidRPr="00045AA2">
        <w:rPr>
          <w:b/>
        </w:rPr>
        <w:t xml:space="preserve">(2) </w:t>
      </w:r>
      <w:r w:rsidR="006B36B1" w:rsidRPr="00045AA2">
        <w:rPr>
          <w:b/>
        </w:rPr>
        <w:t xml:space="preserve">LEARNING OUTCOMES </w:t>
      </w:r>
    </w:p>
    <w:p w14:paraId="11EACFA4" w14:textId="77777777" w:rsidR="00045AA2" w:rsidRPr="00045AA2" w:rsidRDefault="00045AA2" w:rsidP="00045AA2"/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0F4FD4" w:rsidRPr="00780FBF" w14:paraId="6069B931" w14:textId="77777777" w:rsidTr="00045AA2">
        <w:tc>
          <w:tcPr>
            <w:tcW w:w="9067" w:type="dxa"/>
            <w:tcBorders>
              <w:bottom w:val="nil"/>
            </w:tcBorders>
            <w:shd w:val="clear" w:color="auto" w:fill="DDD9C3" w:themeFill="background2" w:themeFillShade="E6"/>
          </w:tcPr>
          <w:p w14:paraId="782C8EA8" w14:textId="77777777" w:rsidR="000F4FD4" w:rsidRPr="00780FBF" w:rsidRDefault="00B0050B" w:rsidP="00780FBF">
            <w:pPr>
              <w:rPr>
                <w:b/>
              </w:rPr>
            </w:pPr>
            <w:r w:rsidRPr="00780FBF">
              <w:rPr>
                <w:b/>
              </w:rPr>
              <w:t>Learning Outcomes</w:t>
            </w:r>
          </w:p>
        </w:tc>
      </w:tr>
      <w:tr w:rsidR="000F4FD4" w:rsidRPr="00BF6CD5" w14:paraId="7B94912B" w14:textId="77777777" w:rsidTr="00045AA2">
        <w:tc>
          <w:tcPr>
            <w:tcW w:w="9067" w:type="dxa"/>
          </w:tcPr>
          <w:p w14:paraId="52F277DF" w14:textId="77777777" w:rsidR="00C474E1" w:rsidRPr="00C96AEF" w:rsidRDefault="00C474E1" w:rsidP="006B36B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3AED9581" w14:textId="77777777" w:rsidR="00C474E1" w:rsidRPr="00942E52" w:rsidRDefault="00C474E1" w:rsidP="006B36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74E1">
              <w:rPr>
                <w:rFonts w:eastAsia="Calibri"/>
                <w:szCs w:val="22"/>
                <w:lang w:val="en-GB"/>
              </w:rPr>
              <w:t>U</w:t>
            </w:r>
            <w:r w:rsidR="00872C4B">
              <w:rPr>
                <w:rFonts w:eastAsia="Calibri"/>
                <w:szCs w:val="22"/>
                <w:lang w:val="en-GB"/>
              </w:rPr>
              <w:t>pon successful completion of this</w:t>
            </w:r>
            <w:r w:rsidRPr="00C474E1">
              <w:rPr>
                <w:rFonts w:eastAsia="Calibri"/>
                <w:szCs w:val="22"/>
                <w:lang w:val="en-GB"/>
              </w:rPr>
              <w:t xml:space="preserve"> course, students</w:t>
            </w:r>
            <w:r w:rsidRPr="00942E52">
              <w:rPr>
                <w:rFonts w:eastAsia="Calibri"/>
                <w:szCs w:val="22"/>
              </w:rPr>
              <w:t>:</w:t>
            </w:r>
          </w:p>
          <w:p w14:paraId="478D5A7E" w14:textId="77777777" w:rsidR="00C474E1" w:rsidRPr="00C474E1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>will have gained familiarity with</w:t>
            </w:r>
            <w:r w:rsidR="009637D4">
              <w:rPr>
                <w:rFonts w:eastAsia="Calibri"/>
                <w:lang w:val="en-GB"/>
              </w:rPr>
              <w:t xml:space="preserve"> the</w:t>
            </w:r>
            <w:r w:rsidRPr="00C474E1">
              <w:rPr>
                <w:rFonts w:eastAsia="Calibri"/>
                <w:lang w:val="en-GB"/>
              </w:rPr>
              <w:t xml:space="preserve"> close </w:t>
            </w:r>
            <w:r w:rsidR="009637D4">
              <w:rPr>
                <w:rFonts w:eastAsia="Calibri"/>
                <w:lang w:val="en-GB"/>
              </w:rPr>
              <w:t xml:space="preserve">reading and interpretation of </w:t>
            </w:r>
            <w:r w:rsidRPr="00C474E1">
              <w:rPr>
                <w:rFonts w:eastAsia="Calibri"/>
                <w:lang w:val="en-GB"/>
              </w:rPr>
              <w:t xml:space="preserve">philosophical </w:t>
            </w:r>
            <w:proofErr w:type="gramStart"/>
            <w:r w:rsidRPr="00C474E1">
              <w:rPr>
                <w:rFonts w:eastAsia="Calibri"/>
                <w:lang w:val="en-GB"/>
              </w:rPr>
              <w:t>text</w:t>
            </w:r>
            <w:r w:rsidR="009637D4">
              <w:rPr>
                <w:rFonts w:eastAsia="Calibri"/>
                <w:lang w:val="en-GB"/>
              </w:rPr>
              <w:t>s</w:t>
            </w:r>
            <w:r w:rsidRPr="00C474E1">
              <w:rPr>
                <w:rFonts w:eastAsia="Calibri"/>
                <w:lang w:val="en-GB"/>
              </w:rPr>
              <w:t>;</w:t>
            </w:r>
            <w:proofErr w:type="gramEnd"/>
          </w:p>
          <w:p w14:paraId="14D56B71" w14:textId="77777777" w:rsidR="00C474E1" w:rsidRPr="00C474E1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>will be able to apply their know</w:t>
            </w:r>
            <w:r w:rsidR="009637D4">
              <w:rPr>
                <w:rFonts w:eastAsia="Calibri"/>
                <w:lang w:val="en-GB"/>
              </w:rPr>
              <w:t xml:space="preserve">ledge and understanding to other works of ancient </w:t>
            </w:r>
            <w:proofErr w:type="gramStart"/>
            <w:r w:rsidR="009637D4">
              <w:rPr>
                <w:rFonts w:eastAsia="Calibri"/>
                <w:lang w:val="en-GB"/>
              </w:rPr>
              <w:t>philosophy</w:t>
            </w:r>
            <w:r w:rsidRPr="00C474E1">
              <w:rPr>
                <w:rFonts w:eastAsia="Calibri"/>
                <w:lang w:val="en-GB"/>
              </w:rPr>
              <w:t>;</w:t>
            </w:r>
            <w:proofErr w:type="gramEnd"/>
          </w:p>
          <w:p w14:paraId="5A879575" w14:textId="77777777" w:rsidR="00C474E1" w:rsidRPr="009637D4" w:rsidRDefault="00C474E1" w:rsidP="009637D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 xml:space="preserve">will be able to form judgments about the social and moral issues raised in the </w:t>
            </w:r>
            <w:proofErr w:type="gramStart"/>
            <w:r w:rsidRPr="00C474E1">
              <w:rPr>
                <w:rFonts w:eastAsia="Calibri"/>
                <w:lang w:val="en-GB"/>
              </w:rPr>
              <w:t>text</w:t>
            </w:r>
            <w:r w:rsidR="009637D4">
              <w:rPr>
                <w:rFonts w:eastAsia="Calibri"/>
                <w:lang w:val="en-GB"/>
              </w:rPr>
              <w:t>s</w:t>
            </w:r>
            <w:r w:rsidRPr="00C474E1">
              <w:rPr>
                <w:rFonts w:eastAsia="Calibri"/>
                <w:lang w:val="en-GB"/>
              </w:rPr>
              <w:t>;</w:t>
            </w:r>
            <w:proofErr w:type="gramEnd"/>
          </w:p>
          <w:p w14:paraId="1E7D8751" w14:textId="77777777" w:rsidR="00F03B25" w:rsidRPr="009637D4" w:rsidRDefault="00C474E1" w:rsidP="009637D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eastAsia="Calibri"/>
                <w:lang w:val="en-GB"/>
              </w:rPr>
            </w:pPr>
            <w:r w:rsidRPr="00C474E1">
              <w:rPr>
                <w:rFonts w:eastAsia="Calibri"/>
                <w:lang w:val="en-GB"/>
              </w:rPr>
              <w:t>will be able to communi</w:t>
            </w:r>
            <w:r w:rsidR="009637D4">
              <w:rPr>
                <w:rFonts w:eastAsia="Calibri"/>
                <w:lang w:val="en-GB"/>
              </w:rPr>
              <w:t xml:space="preserve">cate clearly their views </w:t>
            </w:r>
            <w:r w:rsidR="00872C4B">
              <w:rPr>
                <w:rFonts w:eastAsia="Calibri"/>
                <w:lang w:val="en-GB"/>
              </w:rPr>
              <w:t>and arguments</w:t>
            </w:r>
            <w:r w:rsidRPr="00C474E1">
              <w:rPr>
                <w:rFonts w:eastAsia="Calibri"/>
                <w:lang w:val="en-GB"/>
              </w:rPr>
              <w:t xml:space="preserve"> to both specialist and non-specialist audiences</w:t>
            </w:r>
          </w:p>
          <w:p w14:paraId="50BCF1C9" w14:textId="77777777" w:rsidR="006B36B1" w:rsidRPr="006B36B1" w:rsidRDefault="006B36B1" w:rsidP="006B36B1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</w:tc>
      </w:tr>
      <w:tr w:rsidR="000F4FD4" w:rsidRPr="00780FBF" w14:paraId="3AF1882D" w14:textId="77777777" w:rsidTr="00045AA2">
        <w:tblPrEx>
          <w:tblLook w:val="0000" w:firstRow="0" w:lastRow="0" w:firstColumn="0" w:lastColumn="0" w:noHBand="0" w:noVBand="0"/>
        </w:tblPrEx>
        <w:tc>
          <w:tcPr>
            <w:tcW w:w="9067" w:type="dxa"/>
            <w:tcBorders>
              <w:bottom w:val="nil"/>
            </w:tcBorders>
            <w:shd w:val="clear" w:color="auto" w:fill="DDD9C3" w:themeFill="background2" w:themeFillShade="E6"/>
          </w:tcPr>
          <w:p w14:paraId="0D922712" w14:textId="77777777" w:rsidR="000F4FD4" w:rsidRPr="00780FBF" w:rsidRDefault="00486306" w:rsidP="00780FBF">
            <w:pPr>
              <w:rPr>
                <w:b/>
              </w:rPr>
            </w:pPr>
            <w:r w:rsidRPr="00780FBF">
              <w:rPr>
                <w:b/>
              </w:rPr>
              <w:t>General Skills</w:t>
            </w:r>
          </w:p>
        </w:tc>
      </w:tr>
      <w:tr w:rsidR="000F4FD4" w:rsidRPr="007E6482" w14:paraId="7DE46BF1" w14:textId="77777777" w:rsidTr="00045AA2">
        <w:tc>
          <w:tcPr>
            <w:tcW w:w="9067" w:type="dxa"/>
            <w:tcBorders>
              <w:bottom w:val="single" w:sz="4" w:space="0" w:color="auto"/>
            </w:tcBorders>
          </w:tcPr>
          <w:p w14:paraId="5F01E762" w14:textId="77777777" w:rsidR="000F4FD4" w:rsidRPr="00972D53" w:rsidRDefault="000F4FD4" w:rsidP="00972D53"/>
          <w:p w14:paraId="67168DEA" w14:textId="77777777" w:rsidR="00872C4B" w:rsidRDefault="00872C4B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Critical Thinking</w:t>
            </w:r>
          </w:p>
          <w:p w14:paraId="674F38C0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Independent work</w:t>
            </w:r>
          </w:p>
          <w:p w14:paraId="6541096C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proofErr w:type="gramStart"/>
            <w:r w:rsidRPr="003457C6">
              <w:rPr>
                <w:lang w:val="en-US"/>
              </w:rPr>
              <w:t>Team</w:t>
            </w:r>
            <w:r w:rsidR="009637D4">
              <w:rPr>
                <w:lang w:val="en-US"/>
              </w:rPr>
              <w:t xml:space="preserve"> </w:t>
            </w:r>
            <w:r w:rsidRPr="003457C6">
              <w:rPr>
                <w:lang w:val="en-US"/>
              </w:rPr>
              <w:t>work</w:t>
            </w:r>
            <w:proofErr w:type="gramEnd"/>
          </w:p>
          <w:p w14:paraId="0B134EC0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Work in an international environment</w:t>
            </w:r>
          </w:p>
          <w:p w14:paraId="7EC0DF68" w14:textId="77777777" w:rsidR="00216F25" w:rsidRPr="003457C6" w:rsidRDefault="00216F25" w:rsidP="00972D5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457C6">
              <w:rPr>
                <w:lang w:val="en-US"/>
              </w:rPr>
              <w:t>Work in an interdisciplinary environment</w:t>
            </w:r>
          </w:p>
          <w:p w14:paraId="484799CF" w14:textId="77777777" w:rsidR="000F4FD4" w:rsidRPr="00E64859" w:rsidRDefault="00216F25" w:rsidP="00E64859">
            <w:pPr>
              <w:pStyle w:val="ListParagraph"/>
              <w:numPr>
                <w:ilvl w:val="0"/>
                <w:numId w:val="9"/>
              </w:numPr>
              <w:spacing w:after="120"/>
              <w:rPr>
                <w:lang w:val="en-US"/>
              </w:rPr>
            </w:pPr>
            <w:r w:rsidRPr="003457C6">
              <w:rPr>
                <w:lang w:val="en-US"/>
              </w:rPr>
              <w:t>Generating new research ideas</w:t>
            </w:r>
          </w:p>
        </w:tc>
      </w:tr>
    </w:tbl>
    <w:p w14:paraId="3F0E0346" w14:textId="77777777" w:rsidR="00045AA2" w:rsidRDefault="00045AA2" w:rsidP="00045AA2"/>
    <w:p w14:paraId="17A05EB0" w14:textId="77777777" w:rsidR="004A07B4" w:rsidRDefault="004A07B4" w:rsidP="00045AA2"/>
    <w:p w14:paraId="7E5D39A2" w14:textId="77777777" w:rsidR="00045AA2" w:rsidRPr="00E0466A" w:rsidRDefault="00045AA2" w:rsidP="00045AA2">
      <w:pPr>
        <w:rPr>
          <w:b/>
        </w:rPr>
      </w:pPr>
      <w:r w:rsidRPr="00045AA2">
        <w:rPr>
          <w:b/>
        </w:rPr>
        <w:t>(3) COURSE CONTENT</w:t>
      </w:r>
    </w:p>
    <w:p w14:paraId="597908CA" w14:textId="77777777" w:rsidR="007761A2" w:rsidRPr="00045AA2" w:rsidRDefault="007761A2" w:rsidP="00045AA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0F4FD4" w:rsidRPr="00F21D37" w14:paraId="224F5E75" w14:textId="77777777" w:rsidTr="00045AA2">
        <w:tc>
          <w:tcPr>
            <w:tcW w:w="9067" w:type="dxa"/>
          </w:tcPr>
          <w:p w14:paraId="135320DA" w14:textId="77777777" w:rsidR="0088607D" w:rsidRPr="009522FE" w:rsidRDefault="00E0466A" w:rsidP="00092A6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522FE">
              <w:rPr>
                <w:rFonts w:eastAsia="Calibri"/>
                <w:b/>
              </w:rPr>
              <w:t>PLATO</w:t>
            </w:r>
            <w:r w:rsidR="00862319" w:rsidRPr="009522FE">
              <w:rPr>
                <w:rFonts w:eastAsia="Calibri"/>
                <w:b/>
              </w:rPr>
              <w:t xml:space="preserve"> ON VIRTUE</w:t>
            </w:r>
            <w:r w:rsidR="00075DBD" w:rsidRPr="009522FE">
              <w:rPr>
                <w:rFonts w:eastAsia="Calibri"/>
                <w:b/>
              </w:rPr>
              <w:t>, LOVE,</w:t>
            </w:r>
            <w:r w:rsidR="00862319" w:rsidRPr="009522FE">
              <w:rPr>
                <w:rFonts w:eastAsia="Calibri"/>
                <w:b/>
              </w:rPr>
              <w:t xml:space="preserve"> AND THE GOOD LIFE</w:t>
            </w:r>
            <w:r w:rsidRPr="009522FE">
              <w:rPr>
                <w:rFonts w:eastAsia="Calibri"/>
                <w:b/>
              </w:rPr>
              <w:br/>
            </w:r>
          </w:p>
          <w:p w14:paraId="771FFB25" w14:textId="77777777" w:rsidR="009522FE" w:rsidRPr="009522FE" w:rsidRDefault="009522FE" w:rsidP="00092A6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522FE">
              <w:rPr>
                <w:rFonts w:eastAsia="Calibri"/>
                <w:b/>
              </w:rPr>
              <w:t>General Description:</w:t>
            </w:r>
            <w:r w:rsidRPr="009522FE">
              <w:rPr>
                <w:rFonts w:eastAsia="Calibri"/>
                <w:b/>
              </w:rPr>
              <w:br/>
            </w:r>
          </w:p>
          <w:p w14:paraId="20F2C43D" w14:textId="77777777" w:rsidR="00E0466A" w:rsidRPr="001C1269" w:rsidRDefault="00E0466A" w:rsidP="00092A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This seminar introduces students to Plato’s </w:t>
            </w:r>
            <w:r w:rsidR="009522FE">
              <w:rPr>
                <w:rFonts w:eastAsia="Calibri"/>
              </w:rPr>
              <w:t>ethics, focusing</w:t>
            </w:r>
            <w:r>
              <w:rPr>
                <w:rFonts w:eastAsia="Calibri"/>
              </w:rPr>
              <w:t xml:space="preserve"> on questions of virtue</w:t>
            </w:r>
            <w:r w:rsidR="001C1269">
              <w:rPr>
                <w:rFonts w:eastAsia="Calibri"/>
              </w:rPr>
              <w:t xml:space="preserve">, pleasure, love, and their </w:t>
            </w:r>
            <w:r w:rsidR="009522FE">
              <w:rPr>
                <w:rFonts w:eastAsia="Calibri"/>
              </w:rPr>
              <w:t>relationship to the</w:t>
            </w:r>
            <w:r w:rsidR="00872C4B">
              <w:rPr>
                <w:rFonts w:eastAsia="Calibri"/>
              </w:rPr>
              <w:t xml:space="preserve"> </w:t>
            </w:r>
            <w:r w:rsidR="009522FE">
              <w:rPr>
                <w:rFonts w:eastAsia="Calibri"/>
              </w:rPr>
              <w:t>good</w:t>
            </w:r>
            <w:r>
              <w:rPr>
                <w:rFonts w:eastAsia="Calibri"/>
              </w:rPr>
              <w:t xml:space="preserve"> </w:t>
            </w:r>
            <w:r w:rsidR="00872C4B">
              <w:rPr>
                <w:rFonts w:eastAsia="Calibri"/>
              </w:rPr>
              <w:t xml:space="preserve">and happy </w:t>
            </w:r>
            <w:r>
              <w:rPr>
                <w:rFonts w:eastAsia="Calibri"/>
              </w:rPr>
              <w:t>li</w:t>
            </w:r>
            <w:r w:rsidR="001C1269">
              <w:rPr>
                <w:rFonts w:eastAsia="Calibri"/>
              </w:rPr>
              <w:t>fe.</w:t>
            </w:r>
          </w:p>
          <w:p w14:paraId="1C5F0D23" w14:textId="77777777" w:rsidR="00E0466A" w:rsidRDefault="00E0466A" w:rsidP="00092A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587BB4E" w14:textId="77777777" w:rsidR="00E0466A" w:rsidRDefault="00872C4B" w:rsidP="00092A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We will spend W</w:t>
            </w:r>
            <w:r w:rsidR="00E0466A">
              <w:rPr>
                <w:rFonts w:eastAsia="Calibri"/>
              </w:rPr>
              <w:t>eeks 1-3</w:t>
            </w:r>
            <w:r w:rsidR="00862319">
              <w:rPr>
                <w:rFonts w:eastAsia="Calibri"/>
              </w:rPr>
              <w:t xml:space="preserve"> studying</w:t>
            </w:r>
            <w:r w:rsidR="00E0466A">
              <w:rPr>
                <w:rFonts w:eastAsia="Calibri"/>
              </w:rPr>
              <w:t xml:space="preserve"> </w:t>
            </w:r>
            <w:proofErr w:type="gramStart"/>
            <w:r w:rsidR="009522FE">
              <w:rPr>
                <w:rFonts w:eastAsia="Calibri"/>
              </w:rPr>
              <w:t>a number of</w:t>
            </w:r>
            <w:proofErr w:type="gramEnd"/>
            <w:r w:rsidR="009522FE">
              <w:rPr>
                <w:rFonts w:eastAsia="Calibri"/>
              </w:rPr>
              <w:t xml:space="preserve"> dialogues that articulate</w:t>
            </w:r>
            <w:r w:rsidR="00E0466A">
              <w:rPr>
                <w:rFonts w:eastAsia="Calibri"/>
              </w:rPr>
              <w:t xml:space="preserve"> Socrates’ conception of </w:t>
            </w:r>
            <w:r w:rsidR="00E0466A">
              <w:rPr>
                <w:rFonts w:eastAsia="Calibri"/>
                <w:i/>
              </w:rPr>
              <w:t>eudaimonia</w:t>
            </w:r>
            <w:r>
              <w:rPr>
                <w:rFonts w:eastAsia="Calibri"/>
              </w:rPr>
              <w:t>. In W</w:t>
            </w:r>
            <w:r w:rsidR="00E0466A">
              <w:rPr>
                <w:rFonts w:eastAsia="Calibri"/>
              </w:rPr>
              <w:t>eeks 4-6</w:t>
            </w:r>
            <w:r w:rsidR="009522FE">
              <w:rPr>
                <w:rFonts w:eastAsia="Calibri"/>
              </w:rPr>
              <w:t>,</w:t>
            </w:r>
            <w:r w:rsidR="00E0466A">
              <w:rPr>
                <w:rFonts w:eastAsia="Calibri"/>
              </w:rPr>
              <w:t xml:space="preserve"> we will consider the</w:t>
            </w:r>
            <w:r w:rsidR="009522FE">
              <w:rPr>
                <w:rFonts w:eastAsia="Calibri"/>
              </w:rPr>
              <w:t xml:space="preserve"> nature of virtue</w:t>
            </w:r>
            <w:r w:rsidR="00E0466A">
              <w:rPr>
                <w:rFonts w:eastAsia="Calibri"/>
              </w:rPr>
              <w:t>.</w:t>
            </w:r>
            <w:r w:rsidR="009522FE">
              <w:rPr>
                <w:rFonts w:eastAsia="Calibri"/>
              </w:rPr>
              <w:t xml:space="preserve"> By the end of</w:t>
            </w:r>
            <w:r w:rsidR="00862319">
              <w:rPr>
                <w:rFonts w:eastAsia="Calibri"/>
              </w:rPr>
              <w:t xml:space="preserve"> the first half of the semester, we w</w:t>
            </w:r>
            <w:r>
              <w:rPr>
                <w:rFonts w:eastAsia="Calibri"/>
              </w:rPr>
              <w:t xml:space="preserve">ill be </w:t>
            </w:r>
            <w:proofErr w:type="gramStart"/>
            <w:r>
              <w:rPr>
                <w:rFonts w:eastAsia="Calibri"/>
              </w:rPr>
              <w:t>in a position</w:t>
            </w:r>
            <w:proofErr w:type="gramEnd"/>
            <w:r>
              <w:rPr>
                <w:rFonts w:eastAsia="Calibri"/>
              </w:rPr>
              <w:t xml:space="preserve"> to evaluate</w:t>
            </w:r>
            <w:r w:rsidR="009522FE">
              <w:rPr>
                <w:rFonts w:eastAsia="Calibri"/>
              </w:rPr>
              <w:t xml:space="preserve"> Plato’s views on the relationship between virtue and </w:t>
            </w:r>
            <w:r w:rsidR="009522FE" w:rsidRPr="009522FE">
              <w:rPr>
                <w:rFonts w:eastAsia="Calibri"/>
                <w:i/>
              </w:rPr>
              <w:t>eudaimonia</w:t>
            </w:r>
            <w:r w:rsidR="00862319">
              <w:rPr>
                <w:rFonts w:eastAsia="Calibri"/>
              </w:rPr>
              <w:t>.</w:t>
            </w:r>
          </w:p>
          <w:p w14:paraId="43294CAB" w14:textId="77777777" w:rsidR="00862319" w:rsidRDefault="00862319" w:rsidP="00092A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226F11D7" w14:textId="77777777" w:rsidR="00E0466A" w:rsidRDefault="00E0466A" w:rsidP="00092A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In the second h</w:t>
            </w:r>
            <w:r w:rsidR="00872C4B">
              <w:rPr>
                <w:rFonts w:eastAsia="Calibri"/>
              </w:rPr>
              <w:t>alf of the semester (W</w:t>
            </w:r>
            <w:r>
              <w:rPr>
                <w:rFonts w:eastAsia="Calibri"/>
              </w:rPr>
              <w:t>eeks 7-12)</w:t>
            </w:r>
            <w:r w:rsidR="0086231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we w</w:t>
            </w:r>
            <w:r w:rsidR="00862319">
              <w:rPr>
                <w:rFonts w:eastAsia="Calibri"/>
              </w:rPr>
              <w:t>ill turn to</w:t>
            </w:r>
            <w:r>
              <w:rPr>
                <w:rFonts w:eastAsia="Calibri"/>
              </w:rPr>
              <w:t xml:space="preserve"> Plato’</w:t>
            </w:r>
            <w:r w:rsidR="001C1269">
              <w:rPr>
                <w:rFonts w:eastAsia="Calibri"/>
              </w:rPr>
              <w:t>s mature works. We will spend</w:t>
            </w:r>
            <w:r w:rsidR="00862319">
              <w:rPr>
                <w:rFonts w:eastAsia="Calibri"/>
              </w:rPr>
              <w:t xml:space="preserve"> two weeks on the late books of the </w:t>
            </w:r>
            <w:r w:rsidR="00862319">
              <w:rPr>
                <w:rFonts w:eastAsia="Calibri"/>
                <w:i/>
              </w:rPr>
              <w:t>Republic</w:t>
            </w:r>
            <w:r w:rsidR="00862319">
              <w:rPr>
                <w:rFonts w:eastAsia="Calibri"/>
              </w:rPr>
              <w:t>,</w:t>
            </w:r>
            <w:r w:rsidR="001C1269">
              <w:rPr>
                <w:rFonts w:eastAsia="Calibri"/>
              </w:rPr>
              <w:t xml:space="preserve"> i</w:t>
            </w:r>
            <w:r w:rsidR="009522FE">
              <w:rPr>
                <w:rFonts w:eastAsia="Calibri"/>
              </w:rPr>
              <w:t>n which many of the questions of the first half of the semester will be considered afresh. Finally</w:t>
            </w:r>
            <w:r w:rsidR="001C1269">
              <w:rPr>
                <w:rFonts w:eastAsia="Calibri"/>
              </w:rPr>
              <w:t>,</w:t>
            </w:r>
            <w:r w:rsidR="00872C4B">
              <w:rPr>
                <w:rFonts w:eastAsia="Calibri"/>
              </w:rPr>
              <w:t xml:space="preserve"> we will conclude the semester with</w:t>
            </w:r>
            <w:r w:rsidR="00862319">
              <w:rPr>
                <w:rFonts w:eastAsia="Calibri"/>
              </w:rPr>
              <w:t xml:space="preserve"> a detailed study of Plato’s </w:t>
            </w:r>
            <w:r w:rsidR="00862319">
              <w:rPr>
                <w:rFonts w:eastAsia="Calibri"/>
                <w:i/>
              </w:rPr>
              <w:t>Phaedrus</w:t>
            </w:r>
            <w:r w:rsidR="00862319">
              <w:rPr>
                <w:rFonts w:eastAsia="Calibri"/>
              </w:rPr>
              <w:t>, exploring the role of love in the good life.</w:t>
            </w:r>
          </w:p>
          <w:p w14:paraId="1A0C3728" w14:textId="77777777" w:rsidR="00862319" w:rsidRDefault="00862319" w:rsidP="00092A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1ACA909" w14:textId="77777777" w:rsidR="009522FE" w:rsidRPr="009522FE" w:rsidRDefault="009522FE" w:rsidP="00092A6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522FE">
              <w:rPr>
                <w:rFonts w:eastAsia="Calibri"/>
                <w:b/>
              </w:rPr>
              <w:t>Course Requirements:</w:t>
            </w:r>
          </w:p>
          <w:p w14:paraId="37DD9E41" w14:textId="77777777" w:rsidR="009522FE" w:rsidRDefault="009522FE" w:rsidP="00092A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4C0CF13D" w14:textId="77777777" w:rsidR="00862319" w:rsidRDefault="00862319" w:rsidP="009522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22FE">
              <w:rPr>
                <w:rFonts w:eastAsia="Calibri"/>
              </w:rPr>
              <w:t>Students are expected to read the follow</w:t>
            </w:r>
            <w:r w:rsidR="009522FE" w:rsidRPr="009522FE">
              <w:rPr>
                <w:rFonts w:eastAsia="Calibri"/>
              </w:rPr>
              <w:t xml:space="preserve">ing dialogues </w:t>
            </w:r>
            <w:r w:rsidR="009522FE" w:rsidRPr="009522FE">
              <w:rPr>
                <w:rFonts w:eastAsia="Calibri"/>
                <w:i/>
              </w:rPr>
              <w:t>in their entirety</w:t>
            </w:r>
            <w:r w:rsidR="009522FE" w:rsidRPr="009522FE">
              <w:rPr>
                <w:rFonts w:eastAsia="Calibri"/>
              </w:rPr>
              <w:t xml:space="preserve"> in advance of th</w:t>
            </w:r>
            <w:r w:rsidR="00872C4B">
              <w:rPr>
                <w:rFonts w:eastAsia="Calibri"/>
              </w:rPr>
              <w:t>e corresponding class session</w:t>
            </w:r>
            <w:r w:rsidRPr="009522FE">
              <w:rPr>
                <w:rFonts w:eastAsia="Calibri"/>
              </w:rPr>
              <w:t xml:space="preserve">. </w:t>
            </w:r>
            <w:r w:rsidR="009522FE" w:rsidRPr="009522FE">
              <w:rPr>
                <w:rFonts w:eastAsia="Calibri"/>
              </w:rPr>
              <w:t>While t</w:t>
            </w:r>
            <w:r w:rsidRPr="009522FE">
              <w:rPr>
                <w:rFonts w:eastAsia="Calibri"/>
              </w:rPr>
              <w:t>he f</w:t>
            </w:r>
            <w:r w:rsidR="00872C4B">
              <w:rPr>
                <w:rFonts w:eastAsia="Calibri"/>
              </w:rPr>
              <w:t>ocus of each</w:t>
            </w:r>
            <w:r w:rsidR="009522FE" w:rsidRPr="009522FE">
              <w:rPr>
                <w:rFonts w:eastAsia="Calibri"/>
              </w:rPr>
              <w:t xml:space="preserve"> session will be more limited (and the main discussion topic is</w:t>
            </w:r>
            <w:r w:rsidRPr="009522FE">
              <w:rPr>
                <w:rFonts w:eastAsia="Calibri"/>
              </w:rPr>
              <w:t xml:space="preserve"> indicated below</w:t>
            </w:r>
            <w:r w:rsidR="009522FE" w:rsidRPr="009522FE">
              <w:rPr>
                <w:rFonts w:eastAsia="Calibri"/>
              </w:rPr>
              <w:t>),</w:t>
            </w:r>
            <w:r w:rsidRPr="009522FE">
              <w:rPr>
                <w:rFonts w:eastAsia="Calibri"/>
              </w:rPr>
              <w:t xml:space="preserve"> familiarity with the dialogue </w:t>
            </w:r>
            <w:proofErr w:type="gramStart"/>
            <w:r w:rsidRPr="009522FE">
              <w:rPr>
                <w:rFonts w:eastAsia="Calibri"/>
              </w:rPr>
              <w:t>as a whole will</w:t>
            </w:r>
            <w:proofErr w:type="gramEnd"/>
            <w:r w:rsidRPr="009522FE">
              <w:rPr>
                <w:rFonts w:eastAsia="Calibri"/>
              </w:rPr>
              <w:t xml:space="preserve"> be expected. </w:t>
            </w:r>
          </w:p>
          <w:p w14:paraId="278F91E5" w14:textId="77777777" w:rsidR="00872C4B" w:rsidRDefault="00872C4B" w:rsidP="009522F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49DCC4C6" w14:textId="77777777" w:rsidR="00862319" w:rsidRDefault="00872C4B" w:rsidP="00092A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Course requirements also include the following:</w:t>
            </w:r>
          </w:p>
          <w:p w14:paraId="3575BDD1" w14:textId="77777777" w:rsidR="004A5675" w:rsidRDefault="004A5675" w:rsidP="00092A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0FFC542" w14:textId="77777777" w:rsidR="00847156" w:rsidRPr="00847156" w:rsidRDefault="00F35FFE" w:rsidP="0084715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7156">
              <w:rPr>
                <w:rFonts w:eastAsia="Calibri"/>
                <w:lang w:val="en-US"/>
              </w:rPr>
              <w:t>Two</w:t>
            </w:r>
            <w:r w:rsidR="00862319" w:rsidRPr="00847156">
              <w:rPr>
                <w:rFonts w:eastAsia="Calibri"/>
                <w:lang w:val="en-US"/>
              </w:rPr>
              <w:t>-page outlines of the basi</w:t>
            </w:r>
            <w:r w:rsidR="00872C4B">
              <w:rPr>
                <w:rFonts w:eastAsia="Calibri"/>
                <w:lang w:val="en-US"/>
              </w:rPr>
              <w:t>c structure of each dialogue will be</w:t>
            </w:r>
            <w:r w:rsidR="00862319" w:rsidRPr="00847156">
              <w:rPr>
                <w:rFonts w:eastAsia="Calibri"/>
                <w:lang w:val="en-US"/>
              </w:rPr>
              <w:t xml:space="preserve"> due every week</w:t>
            </w:r>
            <w:r w:rsidR="00847156" w:rsidRPr="00847156">
              <w:rPr>
                <w:rFonts w:eastAsia="Calibri"/>
                <w:lang w:val="en-US"/>
              </w:rPr>
              <w:t xml:space="preserve">, in advance of </w:t>
            </w:r>
            <w:r w:rsidR="00872C4B">
              <w:rPr>
                <w:rFonts w:eastAsia="Calibri"/>
                <w:lang w:val="en-US"/>
              </w:rPr>
              <w:t>each class session</w:t>
            </w:r>
            <w:r w:rsidR="00862319" w:rsidRPr="00847156">
              <w:rPr>
                <w:rFonts w:eastAsia="Calibri"/>
                <w:lang w:val="en-US"/>
              </w:rPr>
              <w:t>.</w:t>
            </w:r>
          </w:p>
          <w:p w14:paraId="6F3F2FA5" w14:textId="77777777" w:rsidR="00847156" w:rsidRPr="00847156" w:rsidRDefault="00847156" w:rsidP="0084715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7156">
              <w:rPr>
                <w:rFonts w:eastAsia="Calibri"/>
                <w:lang w:val="en-US"/>
              </w:rPr>
              <w:t>A 5-page</w:t>
            </w:r>
            <w:r w:rsidR="00862319" w:rsidRPr="00847156">
              <w:rPr>
                <w:rFonts w:eastAsia="Calibri"/>
                <w:lang w:val="en-US"/>
              </w:rPr>
              <w:t xml:space="preserve"> midterm pap</w:t>
            </w:r>
            <w:r>
              <w:rPr>
                <w:rFonts w:eastAsia="Calibri"/>
                <w:lang w:val="en-US"/>
              </w:rPr>
              <w:t>er is due by the end of Week 6.</w:t>
            </w:r>
          </w:p>
          <w:p w14:paraId="6613AF65" w14:textId="77777777" w:rsidR="00847156" w:rsidRDefault="00847156" w:rsidP="0084715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7156">
              <w:rPr>
                <w:rFonts w:eastAsia="Calibri"/>
                <w:lang w:val="en-US"/>
              </w:rPr>
              <w:t>A 15-page</w:t>
            </w:r>
            <w:r w:rsidR="00862319" w:rsidRPr="00847156">
              <w:rPr>
                <w:rFonts w:eastAsia="Calibri"/>
                <w:lang w:val="en-US"/>
              </w:rPr>
              <w:t xml:space="preserve"> final paper is due by the end of the semester.</w:t>
            </w:r>
          </w:p>
          <w:p w14:paraId="1C3CB4FF" w14:textId="77777777" w:rsidR="00862319" w:rsidRPr="00847156" w:rsidRDefault="00847156" w:rsidP="0084715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Optional </w:t>
            </w:r>
            <w:r w:rsidRPr="00847156">
              <w:rPr>
                <w:rFonts w:eastAsia="Calibri"/>
                <w:lang w:val="en-US"/>
              </w:rPr>
              <w:t xml:space="preserve">Extra </w:t>
            </w:r>
            <w:r>
              <w:rPr>
                <w:rFonts w:eastAsia="Calibri"/>
                <w:lang w:val="en-US"/>
              </w:rPr>
              <w:t>Credit is available for students wishing to</w:t>
            </w:r>
            <w:r w:rsidRPr="00847156">
              <w:rPr>
                <w:rFonts w:eastAsia="Calibri"/>
                <w:lang w:val="en-US"/>
              </w:rPr>
              <w:t xml:space="preserve"> give oral </w:t>
            </w:r>
            <w:r>
              <w:rPr>
                <w:rFonts w:eastAsia="Calibri"/>
                <w:lang w:val="en-US"/>
              </w:rPr>
              <w:t>reports on secondary literature. You may choose</w:t>
            </w:r>
            <w:r w:rsidRPr="00847156">
              <w:rPr>
                <w:rFonts w:eastAsia="Calibri"/>
                <w:lang w:val="en-US"/>
              </w:rPr>
              <w:t xml:space="preserve"> from the additional readings indicated in the weekly schedule below.</w:t>
            </w:r>
          </w:p>
          <w:p w14:paraId="5FF8656A" w14:textId="77777777" w:rsidR="00847156" w:rsidRPr="00847156" w:rsidRDefault="00847156" w:rsidP="0084715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575777FC" w14:textId="77777777" w:rsidR="00E0466A" w:rsidRPr="00847156" w:rsidRDefault="00847156" w:rsidP="00092A6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47156">
              <w:rPr>
                <w:rFonts w:eastAsia="Calibri"/>
                <w:b/>
              </w:rPr>
              <w:t>Weekly Schedule:</w:t>
            </w:r>
          </w:p>
          <w:p w14:paraId="51A2EEA4" w14:textId="77777777" w:rsidR="00F35FFE" w:rsidRDefault="00F35FFE" w:rsidP="00092A6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72A9D939" w14:textId="77777777" w:rsidR="003351AC" w:rsidRPr="00075DBD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/>
              </w:rPr>
            </w:pPr>
            <w:r w:rsidRPr="00075DBD">
              <w:rPr>
                <w:rFonts w:eastAsia="Calibri"/>
                <w:b/>
                <w:lang w:val="en-GB"/>
              </w:rPr>
              <w:t xml:space="preserve">WEEK 1: </w:t>
            </w:r>
            <w:r w:rsidRPr="00075DBD">
              <w:rPr>
                <w:rFonts w:eastAsia="Calibri"/>
                <w:b/>
                <w:i/>
                <w:lang w:val="en-GB"/>
              </w:rPr>
              <w:t>Apology</w:t>
            </w:r>
            <w:r w:rsidRPr="00075DBD">
              <w:rPr>
                <w:rFonts w:eastAsia="Calibri"/>
                <w:b/>
                <w:lang w:val="en-GB"/>
              </w:rPr>
              <w:t xml:space="preserve"> </w:t>
            </w:r>
          </w:p>
          <w:p w14:paraId="78FF6321" w14:textId="77777777" w:rsidR="003351AC" w:rsidRDefault="00872C4B" w:rsidP="00FF3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This work is useful</w:t>
            </w:r>
            <w:r w:rsidR="009B32C2">
              <w:rPr>
                <w:rFonts w:eastAsia="Calibri"/>
              </w:rPr>
              <w:t xml:space="preserve"> as a general introduction t</w:t>
            </w:r>
            <w:r>
              <w:rPr>
                <w:rFonts w:eastAsia="Calibri"/>
              </w:rPr>
              <w:t>o Plato’s ethics. We will explore</w:t>
            </w:r>
            <w:r w:rsidR="009B32C2">
              <w:rPr>
                <w:rFonts w:eastAsia="Calibri"/>
              </w:rPr>
              <w:t xml:space="preserve"> Socrates’ conception of the good and </w:t>
            </w:r>
            <w:r>
              <w:rPr>
                <w:rFonts w:eastAsia="Calibri"/>
              </w:rPr>
              <w:t>happy life, his views on the fear of death, and the role of the divine.</w:t>
            </w:r>
          </w:p>
          <w:p w14:paraId="788AD9E7" w14:textId="77777777" w:rsidR="009B32C2" w:rsidRPr="009B32C2" w:rsidRDefault="009B32C2" w:rsidP="00FF359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1D668EF" w14:textId="77777777" w:rsidR="00E0466A" w:rsidRPr="00075DBD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/>
              </w:rPr>
            </w:pPr>
            <w:r w:rsidRPr="00075DBD">
              <w:rPr>
                <w:rFonts w:eastAsia="Calibri"/>
                <w:b/>
                <w:lang w:val="en-GB"/>
              </w:rPr>
              <w:t xml:space="preserve">WEEK 2: </w:t>
            </w:r>
            <w:r w:rsidRPr="00075DBD">
              <w:rPr>
                <w:rFonts w:eastAsia="Calibri"/>
                <w:b/>
                <w:i/>
                <w:lang w:val="en-GB"/>
              </w:rPr>
              <w:t xml:space="preserve">Gorgias </w:t>
            </w:r>
          </w:p>
          <w:p w14:paraId="19844F99" w14:textId="77777777" w:rsidR="00862319" w:rsidRDefault="009B32C2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This dialogue begins as an inquiry into the nature and power of rhetoric, but soon shifts into a discussion of the role of justice and temperance in the good life</w:t>
            </w:r>
            <w:r w:rsidR="00872C4B">
              <w:rPr>
                <w:rFonts w:eastAsia="Calibri"/>
                <w:lang w:val="en-GB"/>
              </w:rPr>
              <w:t xml:space="preserve">, as well as the </w:t>
            </w:r>
            <w:r w:rsidR="00872C4B">
              <w:rPr>
                <w:rFonts w:eastAsia="Calibri"/>
                <w:i/>
                <w:lang w:val="en-GB"/>
              </w:rPr>
              <w:t>techne</w:t>
            </w:r>
            <w:r w:rsidR="00872C4B">
              <w:rPr>
                <w:rFonts w:eastAsia="Calibri"/>
                <w:lang w:val="en-GB"/>
              </w:rPr>
              <w:t xml:space="preserve"> that produces them</w:t>
            </w:r>
            <w:r>
              <w:rPr>
                <w:rFonts w:eastAsia="Calibri"/>
                <w:lang w:val="en-GB"/>
              </w:rPr>
              <w:t xml:space="preserve">. We will </w:t>
            </w:r>
            <w:r w:rsidR="005E13E9">
              <w:rPr>
                <w:rFonts w:eastAsia="Calibri"/>
                <w:lang w:val="en-GB"/>
              </w:rPr>
              <w:t>focus on the final part of the work, including</w:t>
            </w:r>
            <w:r w:rsidR="00862319">
              <w:rPr>
                <w:rFonts w:eastAsia="Calibri"/>
                <w:lang w:val="en-GB"/>
              </w:rPr>
              <w:t xml:space="preserve"> the myth with which the dialogue is concluded.</w:t>
            </w:r>
          </w:p>
          <w:p w14:paraId="03EE71F6" w14:textId="77777777" w:rsidR="00F35FFE" w:rsidRDefault="00F35FFE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6D969885" w14:textId="77777777" w:rsidR="00F35FFE" w:rsidRPr="004A5675" w:rsidRDefault="005E13E9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*</w:t>
            </w:r>
            <w:r w:rsidR="009B32C2">
              <w:rPr>
                <w:rFonts w:eastAsia="Calibri"/>
                <w:lang w:val="en-GB"/>
              </w:rPr>
              <w:t>Additional</w:t>
            </w:r>
            <w:r w:rsidR="004A5675">
              <w:rPr>
                <w:rFonts w:eastAsia="Calibri"/>
                <w:lang w:val="en-GB"/>
              </w:rPr>
              <w:t xml:space="preserve"> </w:t>
            </w:r>
            <w:proofErr w:type="gramStart"/>
            <w:r w:rsidR="004A5675">
              <w:rPr>
                <w:rFonts w:eastAsia="Calibri"/>
                <w:lang w:val="en-GB"/>
              </w:rPr>
              <w:t>Reading :</w:t>
            </w:r>
            <w:proofErr w:type="gramEnd"/>
            <w:r w:rsidR="00F35FFE">
              <w:rPr>
                <w:rFonts w:eastAsia="Calibri"/>
                <w:lang w:val="en-GB"/>
              </w:rPr>
              <w:br/>
            </w:r>
            <w:r w:rsidR="004A5675">
              <w:rPr>
                <w:rFonts w:eastAsia="Calibri"/>
                <w:lang w:val="en-GB"/>
              </w:rPr>
              <w:t xml:space="preserve">Annas, J. (1982) “Plato’s Myths of Judgement,” </w:t>
            </w:r>
            <w:r w:rsidR="004A5675">
              <w:rPr>
                <w:rFonts w:eastAsia="Calibri"/>
                <w:i/>
                <w:lang w:val="en-GB"/>
              </w:rPr>
              <w:t>Phronesis</w:t>
            </w:r>
            <w:r w:rsidR="004A5675">
              <w:rPr>
                <w:rFonts w:eastAsia="Calibri"/>
                <w:lang w:val="en-GB"/>
              </w:rPr>
              <w:t xml:space="preserve"> 27: 119-143.</w:t>
            </w:r>
          </w:p>
          <w:p w14:paraId="45662253" w14:textId="77777777" w:rsidR="00E0466A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7A3F954D" w14:textId="77777777" w:rsidR="00E0466A" w:rsidRPr="00075DBD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lang w:val="en-GB"/>
              </w:rPr>
            </w:pPr>
            <w:r w:rsidRPr="00075DBD">
              <w:rPr>
                <w:rFonts w:eastAsia="Calibri"/>
                <w:b/>
                <w:lang w:val="en-GB"/>
              </w:rPr>
              <w:t xml:space="preserve">WEEK 3: </w:t>
            </w:r>
            <w:r w:rsidRPr="00075DBD">
              <w:rPr>
                <w:rFonts w:eastAsia="Calibri"/>
                <w:b/>
                <w:i/>
                <w:lang w:val="en-GB"/>
              </w:rPr>
              <w:t>Euthydemus</w:t>
            </w:r>
          </w:p>
          <w:p w14:paraId="744FB24A" w14:textId="77777777" w:rsidR="00862319" w:rsidRDefault="009B32C2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 xml:space="preserve">The </w:t>
            </w:r>
            <w:r w:rsidRPr="009B32C2">
              <w:rPr>
                <w:rFonts w:eastAsia="Calibri"/>
                <w:i/>
                <w:lang w:val="en-GB"/>
              </w:rPr>
              <w:t>Euthydemus</w:t>
            </w:r>
            <w:r>
              <w:rPr>
                <w:rFonts w:eastAsia="Calibri"/>
                <w:lang w:val="en-GB"/>
              </w:rPr>
              <w:t xml:space="preserve"> is a discussion between Socrates and two brothers, Euthydemus and </w:t>
            </w:r>
            <w:proofErr w:type="spellStart"/>
            <w:r>
              <w:rPr>
                <w:rFonts w:eastAsia="Calibri"/>
                <w:lang w:val="en-GB"/>
              </w:rPr>
              <w:t>Dionysodorus</w:t>
            </w:r>
            <w:proofErr w:type="spellEnd"/>
            <w:r>
              <w:rPr>
                <w:rFonts w:eastAsia="Calibri"/>
                <w:lang w:val="en-GB"/>
              </w:rPr>
              <w:t>, who practice a very aggressive type</w:t>
            </w:r>
            <w:r w:rsidR="005E13E9">
              <w:rPr>
                <w:rFonts w:eastAsia="Calibri"/>
                <w:lang w:val="en-GB"/>
              </w:rPr>
              <w:t xml:space="preserve"> of sophistry called eristic. Our discussion</w:t>
            </w:r>
            <w:r>
              <w:rPr>
                <w:rFonts w:eastAsia="Calibri"/>
                <w:lang w:val="en-GB"/>
              </w:rPr>
              <w:t xml:space="preserve"> will focus primarily on </w:t>
            </w:r>
            <w:r w:rsidR="00862319" w:rsidRPr="009B32C2">
              <w:rPr>
                <w:rFonts w:eastAsia="Calibri"/>
                <w:lang w:val="en-GB"/>
              </w:rPr>
              <w:t>Socrates’</w:t>
            </w:r>
            <w:r w:rsidR="00862319">
              <w:rPr>
                <w:rFonts w:eastAsia="Calibri"/>
                <w:lang w:val="en-GB"/>
              </w:rPr>
              <w:t xml:space="preserve"> two</w:t>
            </w:r>
            <w:r>
              <w:rPr>
                <w:rFonts w:eastAsia="Calibri"/>
                <w:lang w:val="en-GB"/>
              </w:rPr>
              <w:t xml:space="preserve"> protreptic speeches to philosophy, which constitute an important argument </w:t>
            </w:r>
            <w:r w:rsidR="005E13E9">
              <w:rPr>
                <w:rFonts w:eastAsia="Calibri"/>
                <w:lang w:val="en-GB"/>
              </w:rPr>
              <w:t>on</w:t>
            </w:r>
            <w:r>
              <w:rPr>
                <w:rFonts w:eastAsia="Calibri"/>
                <w:lang w:val="en-GB"/>
              </w:rPr>
              <w:t xml:space="preserve"> the n</w:t>
            </w:r>
            <w:r w:rsidR="005E13E9">
              <w:rPr>
                <w:rFonts w:eastAsia="Calibri"/>
                <w:lang w:val="en-GB"/>
              </w:rPr>
              <w:t>ature of, and preconditions for, the good life</w:t>
            </w:r>
            <w:r w:rsidR="00862319">
              <w:rPr>
                <w:rFonts w:eastAsia="Calibri"/>
                <w:lang w:val="en-GB"/>
              </w:rPr>
              <w:t>.</w:t>
            </w:r>
          </w:p>
          <w:p w14:paraId="3077C2E2" w14:textId="77777777" w:rsidR="00862319" w:rsidRDefault="00862319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7D7C37A2" w14:textId="77777777" w:rsidR="00E0466A" w:rsidRPr="00075DBD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/>
              </w:rPr>
            </w:pPr>
            <w:r w:rsidRPr="00075DBD">
              <w:rPr>
                <w:rFonts w:eastAsia="Calibri"/>
                <w:b/>
                <w:lang w:val="en-GB"/>
              </w:rPr>
              <w:t xml:space="preserve">WEEK 4: </w:t>
            </w:r>
            <w:r w:rsidRPr="00075DBD">
              <w:rPr>
                <w:rFonts w:eastAsia="Calibri"/>
                <w:b/>
                <w:i/>
                <w:lang w:val="en-GB"/>
              </w:rPr>
              <w:t>Laches</w:t>
            </w:r>
          </w:p>
          <w:p w14:paraId="216F3265" w14:textId="77777777" w:rsidR="00F35FFE" w:rsidRDefault="009B32C2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In this dialogue, Socrates and his interlocutors, Laches and Nicias, explore the nature of courage and its relationship with the othe</w:t>
            </w:r>
            <w:r w:rsidR="005E13E9">
              <w:rPr>
                <w:rFonts w:eastAsia="Calibri"/>
                <w:lang w:val="en-GB"/>
              </w:rPr>
              <w:t>r virtues. We will examine closely</w:t>
            </w:r>
            <w:r>
              <w:rPr>
                <w:rFonts w:eastAsia="Calibri"/>
                <w:lang w:val="en-GB"/>
              </w:rPr>
              <w:t xml:space="preserve"> the final </w:t>
            </w:r>
            <w:r w:rsidR="005E13E9">
              <w:rPr>
                <w:rFonts w:eastAsia="Calibri"/>
                <w:lang w:val="en-GB"/>
              </w:rPr>
              <w:t>argument, and the implications of Nicias’ view</w:t>
            </w:r>
            <w:r>
              <w:rPr>
                <w:rFonts w:eastAsia="Calibri"/>
                <w:lang w:val="en-GB"/>
              </w:rPr>
              <w:t xml:space="preserve"> that courage is a form of knowledge, i.e. knowledge of all good and evil.</w:t>
            </w:r>
          </w:p>
          <w:p w14:paraId="41ED1FF0" w14:textId="77777777" w:rsidR="009B32C2" w:rsidRDefault="009B32C2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40EF0C76" w14:textId="77777777" w:rsidR="00F35FFE" w:rsidRDefault="005E13E9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*</w:t>
            </w:r>
            <w:r w:rsidR="009B32C2">
              <w:rPr>
                <w:rFonts w:eastAsia="Calibri"/>
                <w:lang w:val="en-GB"/>
              </w:rPr>
              <w:t>Additional</w:t>
            </w:r>
            <w:r w:rsidR="004A5675">
              <w:rPr>
                <w:rFonts w:eastAsia="Calibri"/>
                <w:lang w:val="en-GB"/>
              </w:rPr>
              <w:t xml:space="preserve"> Reading:</w:t>
            </w:r>
          </w:p>
          <w:p w14:paraId="2DBDCF47" w14:textId="77777777" w:rsidR="00F35FFE" w:rsidRPr="00F35FFE" w:rsidRDefault="00F35FFE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 xml:space="preserve">Sermamoglou-Soulmaidi, G. (2022) “The Nature of Courage in Plato’s </w:t>
            </w:r>
            <w:r>
              <w:rPr>
                <w:rFonts w:eastAsia="Calibri"/>
                <w:i/>
                <w:lang w:val="en-GB"/>
              </w:rPr>
              <w:t>Laches</w:t>
            </w:r>
            <w:r>
              <w:rPr>
                <w:rFonts w:eastAsia="Calibri"/>
                <w:lang w:val="en-GB"/>
              </w:rPr>
              <w:t xml:space="preserve">,” </w:t>
            </w:r>
            <w:r>
              <w:rPr>
                <w:rFonts w:eastAsia="Calibri"/>
                <w:i/>
                <w:lang w:val="en-GB"/>
              </w:rPr>
              <w:t xml:space="preserve">Apeiron </w:t>
            </w:r>
            <w:r>
              <w:rPr>
                <w:rFonts w:eastAsia="Calibri"/>
                <w:lang w:val="en-GB"/>
              </w:rPr>
              <w:t>56: 187-210.</w:t>
            </w:r>
          </w:p>
          <w:p w14:paraId="65C5AA69" w14:textId="77777777" w:rsidR="00E0466A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6B277341" w14:textId="77777777" w:rsidR="00E0466A" w:rsidRPr="00075DBD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/>
              </w:rPr>
            </w:pPr>
            <w:r w:rsidRPr="00075DBD">
              <w:rPr>
                <w:rFonts w:eastAsia="Calibri"/>
                <w:b/>
                <w:lang w:val="en-GB"/>
              </w:rPr>
              <w:t xml:space="preserve">WEEK 5: </w:t>
            </w:r>
            <w:r w:rsidRPr="00075DBD">
              <w:rPr>
                <w:rFonts w:eastAsia="Calibri"/>
                <w:b/>
                <w:i/>
                <w:lang w:val="en-GB"/>
              </w:rPr>
              <w:t>Protagoras</w:t>
            </w:r>
          </w:p>
          <w:p w14:paraId="637D8124" w14:textId="77777777" w:rsidR="00862319" w:rsidRPr="00862319" w:rsidRDefault="009B32C2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Is knowledge of the good sufficient to ensure action in accordance with it? Put another</w:t>
            </w:r>
            <w:r w:rsidR="005E13E9">
              <w:rPr>
                <w:rFonts w:eastAsia="Calibri"/>
                <w:lang w:val="en-GB"/>
              </w:rPr>
              <w:t xml:space="preserve"> way: if I know what benefits</w:t>
            </w:r>
            <w:r>
              <w:rPr>
                <w:rFonts w:eastAsia="Calibri"/>
                <w:lang w:val="en-GB"/>
              </w:rPr>
              <w:t xml:space="preserve"> me, will I consistently act on my knowledge? The </w:t>
            </w:r>
            <w:r>
              <w:rPr>
                <w:rFonts w:eastAsia="Calibri"/>
                <w:i/>
                <w:lang w:val="en-GB"/>
              </w:rPr>
              <w:t xml:space="preserve">Protagoras </w:t>
            </w:r>
            <w:r>
              <w:rPr>
                <w:rFonts w:eastAsia="Calibri"/>
                <w:lang w:val="en-GB"/>
              </w:rPr>
              <w:t>introduces the thorny topic of</w:t>
            </w:r>
            <w:r w:rsidR="00862319">
              <w:rPr>
                <w:rFonts w:eastAsia="Calibri"/>
                <w:lang w:val="en-GB"/>
              </w:rPr>
              <w:t xml:space="preserve"> </w:t>
            </w:r>
            <w:r w:rsidR="00862319">
              <w:rPr>
                <w:rFonts w:eastAsia="Calibri"/>
                <w:i/>
                <w:lang w:val="en-GB"/>
              </w:rPr>
              <w:t>akrasia</w:t>
            </w:r>
            <w:r>
              <w:rPr>
                <w:rFonts w:eastAsia="Calibri"/>
                <w:lang w:val="en-GB"/>
              </w:rPr>
              <w:t>, or weakness of will, which will be the focus o</w:t>
            </w:r>
            <w:r w:rsidR="005E13E9">
              <w:rPr>
                <w:rFonts w:eastAsia="Calibri"/>
                <w:lang w:val="en-GB"/>
              </w:rPr>
              <w:t>f our discussion in this session</w:t>
            </w:r>
            <w:r>
              <w:rPr>
                <w:rFonts w:eastAsia="Calibri"/>
                <w:lang w:val="en-GB"/>
              </w:rPr>
              <w:t>.</w:t>
            </w:r>
          </w:p>
          <w:p w14:paraId="60D03E15" w14:textId="77777777" w:rsidR="00E0466A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2FEA9D12" w14:textId="77777777" w:rsidR="00E0466A" w:rsidRPr="00075DBD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/>
              </w:rPr>
            </w:pPr>
            <w:r w:rsidRPr="00075DBD">
              <w:rPr>
                <w:rFonts w:eastAsia="Calibri"/>
                <w:b/>
                <w:lang w:val="en-GB"/>
              </w:rPr>
              <w:t xml:space="preserve">WEEK 6: </w:t>
            </w:r>
            <w:r w:rsidRPr="00075DBD">
              <w:rPr>
                <w:rFonts w:eastAsia="Calibri"/>
                <w:b/>
                <w:i/>
                <w:lang w:val="en-GB"/>
              </w:rPr>
              <w:t>Hippias Minor</w:t>
            </w:r>
          </w:p>
          <w:p w14:paraId="56989587" w14:textId="77777777" w:rsidR="00E0466A" w:rsidRDefault="005E13E9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We will</w:t>
            </w:r>
            <w:r w:rsidR="00075DBD">
              <w:rPr>
                <w:rFonts w:eastAsia="Calibri"/>
                <w:lang w:val="en-GB"/>
              </w:rPr>
              <w:t xml:space="preserve"> discuss Socrates’ seemingly paradoxical view that </w:t>
            </w:r>
            <w:r w:rsidR="00075DBD">
              <w:rPr>
                <w:rFonts w:eastAsia="Calibri"/>
              </w:rPr>
              <w:t>an agent committing</w:t>
            </w:r>
            <w:r w:rsidR="00075DBD" w:rsidRPr="00075DBD">
              <w:rPr>
                <w:rFonts w:eastAsia="Calibri"/>
              </w:rPr>
              <w:t xml:space="preserve"> injustice volu</w:t>
            </w:r>
            <w:r>
              <w:rPr>
                <w:rFonts w:eastAsia="Calibri"/>
              </w:rPr>
              <w:t>ntarily is better than</w:t>
            </w:r>
            <w:r w:rsidR="00075DBD">
              <w:rPr>
                <w:rFonts w:eastAsia="Calibri"/>
              </w:rPr>
              <w:t xml:space="preserve"> one</w:t>
            </w:r>
            <w:r w:rsidR="00075DBD" w:rsidRPr="00075DBD">
              <w:rPr>
                <w:rFonts w:eastAsia="Calibri"/>
              </w:rPr>
              <w:t xml:space="preserve"> who does so involuntarily</w:t>
            </w:r>
            <w:r>
              <w:rPr>
                <w:rFonts w:eastAsia="Calibri"/>
              </w:rPr>
              <w:t xml:space="preserve">, and </w:t>
            </w:r>
            <w:r>
              <w:rPr>
                <w:rFonts w:eastAsia="Calibri"/>
                <w:lang w:val="en-GB"/>
              </w:rPr>
              <w:t>we will be concerned afresh with the question of the kind of knowledge required for virtuous action.</w:t>
            </w:r>
          </w:p>
          <w:p w14:paraId="36AD3BA7" w14:textId="77777777" w:rsidR="009B32C2" w:rsidRDefault="009B32C2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2ED646D1" w14:textId="77777777" w:rsidR="00862319" w:rsidRPr="00862319" w:rsidRDefault="00862319" w:rsidP="00FF359F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/>
              </w:rPr>
            </w:pPr>
            <w:r w:rsidRPr="00862319">
              <w:rPr>
                <w:rFonts w:eastAsia="Calibri"/>
                <w:b/>
                <w:lang w:val="en-GB"/>
              </w:rPr>
              <w:t>Midterm Paper due</w:t>
            </w:r>
            <w:r>
              <w:rPr>
                <w:rFonts w:eastAsia="Calibri"/>
                <w:b/>
                <w:lang w:val="en-GB"/>
              </w:rPr>
              <w:t>: max. 5 pages</w:t>
            </w:r>
          </w:p>
          <w:p w14:paraId="6D678EE6" w14:textId="77777777" w:rsidR="00862319" w:rsidRDefault="00862319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38E1F8A1" w14:textId="77777777" w:rsidR="004A5675" w:rsidRDefault="004A5675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500C01B1" w14:textId="77777777" w:rsidR="00E0466A" w:rsidRPr="00075DBD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/>
              </w:rPr>
            </w:pPr>
            <w:r w:rsidRPr="00075DBD">
              <w:rPr>
                <w:rFonts w:eastAsia="Calibri"/>
                <w:b/>
                <w:lang w:val="en-GB"/>
              </w:rPr>
              <w:t>WEEK</w:t>
            </w:r>
            <w:r w:rsidR="00075DBD" w:rsidRPr="00075DBD">
              <w:rPr>
                <w:rFonts w:eastAsia="Calibri"/>
                <w:b/>
                <w:lang w:val="en-GB"/>
              </w:rPr>
              <w:t>S</w:t>
            </w:r>
            <w:r w:rsidRPr="00075DBD">
              <w:rPr>
                <w:rFonts w:eastAsia="Calibri"/>
                <w:b/>
                <w:lang w:val="en-GB"/>
              </w:rPr>
              <w:t xml:space="preserve"> 7</w:t>
            </w:r>
            <w:r w:rsidR="00075DBD" w:rsidRPr="00075DBD">
              <w:rPr>
                <w:rFonts w:eastAsia="Calibri"/>
                <w:b/>
                <w:lang w:val="en-GB"/>
              </w:rPr>
              <w:t>-8</w:t>
            </w:r>
            <w:r w:rsidRPr="00075DBD">
              <w:rPr>
                <w:rFonts w:eastAsia="Calibri"/>
                <w:b/>
                <w:lang w:val="en-GB"/>
              </w:rPr>
              <w:t xml:space="preserve">: </w:t>
            </w:r>
            <w:r w:rsidRPr="00075DBD">
              <w:rPr>
                <w:rFonts w:eastAsia="Calibri"/>
                <w:b/>
                <w:i/>
                <w:lang w:val="en-GB"/>
              </w:rPr>
              <w:t xml:space="preserve">Republic </w:t>
            </w:r>
            <w:r w:rsidRPr="00075DBD">
              <w:rPr>
                <w:rFonts w:eastAsia="Calibri"/>
                <w:b/>
                <w:lang w:val="en-GB"/>
              </w:rPr>
              <w:t>8</w:t>
            </w:r>
            <w:r w:rsidR="00075DBD" w:rsidRPr="00075DBD">
              <w:rPr>
                <w:rFonts w:eastAsia="Calibri"/>
                <w:b/>
                <w:lang w:val="en-GB"/>
              </w:rPr>
              <w:t xml:space="preserve"> &amp; </w:t>
            </w:r>
            <w:r w:rsidRPr="00075DBD">
              <w:rPr>
                <w:rFonts w:eastAsia="Calibri"/>
                <w:b/>
                <w:lang w:val="en-GB"/>
              </w:rPr>
              <w:t>9</w:t>
            </w:r>
          </w:p>
          <w:p w14:paraId="77A9CEE5" w14:textId="77777777" w:rsidR="00075DBD" w:rsidRPr="00075DBD" w:rsidRDefault="005E13E9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Our</w:t>
            </w:r>
            <w:r w:rsidR="00075DBD">
              <w:rPr>
                <w:rFonts w:eastAsia="Calibri"/>
                <w:lang w:val="en-GB"/>
              </w:rPr>
              <w:t xml:space="preserve"> study of </w:t>
            </w:r>
            <w:proofErr w:type="gramStart"/>
            <w:r w:rsidR="00075DBD">
              <w:rPr>
                <w:rFonts w:eastAsia="Calibri"/>
                <w:i/>
                <w:lang w:val="en-GB"/>
              </w:rPr>
              <w:t>Republic</w:t>
            </w:r>
            <w:proofErr w:type="gramEnd"/>
            <w:r w:rsidR="00075DBD">
              <w:rPr>
                <w:rFonts w:eastAsia="Calibri"/>
                <w:i/>
                <w:lang w:val="en-GB"/>
              </w:rPr>
              <w:t xml:space="preserve"> </w:t>
            </w:r>
            <w:r>
              <w:rPr>
                <w:rFonts w:eastAsia="Calibri"/>
                <w:lang w:val="en-GB"/>
              </w:rPr>
              <w:t>8 and 9 will involve</w:t>
            </w:r>
            <w:r w:rsidR="00075DBD">
              <w:rPr>
                <w:rFonts w:eastAsia="Calibri"/>
                <w:lang w:val="en-GB"/>
              </w:rPr>
              <w:t xml:space="preserve"> a similar set of questions as in the first half</w:t>
            </w:r>
            <w:r>
              <w:rPr>
                <w:rFonts w:eastAsia="Calibri"/>
                <w:lang w:val="en-GB"/>
              </w:rPr>
              <w:t xml:space="preserve"> of the semester. W</w:t>
            </w:r>
            <w:r w:rsidR="00075DBD">
              <w:rPr>
                <w:rFonts w:eastAsia="Calibri"/>
                <w:lang w:val="en-GB"/>
              </w:rPr>
              <w:t xml:space="preserve">e will be interested in determining whether Plato’s middle-period views appear consistent with those of his early period or </w:t>
            </w:r>
            <w:r>
              <w:rPr>
                <w:rFonts w:eastAsia="Calibri"/>
                <w:lang w:val="en-GB"/>
              </w:rPr>
              <w:t xml:space="preserve">whether they </w:t>
            </w:r>
            <w:r w:rsidR="00075DBD">
              <w:rPr>
                <w:rFonts w:eastAsia="Calibri"/>
                <w:lang w:val="en-GB"/>
              </w:rPr>
              <w:t>show signs of intellectual development.</w:t>
            </w:r>
          </w:p>
          <w:p w14:paraId="48732119" w14:textId="77777777" w:rsidR="004A5675" w:rsidRDefault="004A5675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03C9AA4E" w14:textId="77777777" w:rsidR="004A5675" w:rsidRDefault="005E13E9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*</w:t>
            </w:r>
            <w:r w:rsidR="00075DBD">
              <w:rPr>
                <w:rFonts w:eastAsia="Calibri"/>
                <w:lang w:val="en-GB"/>
              </w:rPr>
              <w:t>Additional</w:t>
            </w:r>
            <w:r w:rsidR="004A5675">
              <w:rPr>
                <w:rFonts w:eastAsia="Calibri"/>
                <w:lang w:val="en-GB"/>
              </w:rPr>
              <w:t xml:space="preserve"> Reading</w:t>
            </w:r>
            <w:r w:rsidR="00075DBD">
              <w:rPr>
                <w:rFonts w:eastAsia="Calibri"/>
                <w:lang w:val="en-GB"/>
              </w:rPr>
              <w:t xml:space="preserve"> (for Week 8)</w:t>
            </w:r>
            <w:r w:rsidR="004A5675">
              <w:rPr>
                <w:rFonts w:eastAsia="Calibri"/>
                <w:lang w:val="en-GB"/>
              </w:rPr>
              <w:t>:</w:t>
            </w:r>
            <w:r w:rsidR="004A5675">
              <w:rPr>
                <w:rFonts w:eastAsia="Calibri"/>
                <w:lang w:val="en-GB"/>
              </w:rPr>
              <w:br/>
            </w:r>
            <w:proofErr w:type="spellStart"/>
            <w:r w:rsidR="004A5675">
              <w:rPr>
                <w:rFonts w:eastAsia="Calibri"/>
                <w:lang w:val="en-GB"/>
              </w:rPr>
              <w:t>Erginel</w:t>
            </w:r>
            <w:proofErr w:type="spellEnd"/>
            <w:r w:rsidR="004A5675">
              <w:rPr>
                <w:rFonts w:eastAsia="Calibri"/>
                <w:lang w:val="en-GB"/>
              </w:rPr>
              <w:t xml:space="preserve">, M. M. (2011) “Inconsistency and Ambiguity in </w:t>
            </w:r>
            <w:r w:rsidR="004A5675" w:rsidRPr="004A5675">
              <w:rPr>
                <w:rFonts w:eastAsia="Calibri"/>
                <w:i/>
                <w:lang w:val="en-GB"/>
              </w:rPr>
              <w:t>Republic</w:t>
            </w:r>
            <w:r w:rsidR="004A5675">
              <w:rPr>
                <w:rFonts w:eastAsia="Calibri"/>
                <w:lang w:val="en-GB"/>
              </w:rPr>
              <w:t xml:space="preserve"> IX,” </w:t>
            </w:r>
            <w:r w:rsidR="004A5675" w:rsidRPr="004A5675">
              <w:rPr>
                <w:rFonts w:eastAsia="Calibri"/>
                <w:i/>
                <w:lang w:val="en-GB"/>
              </w:rPr>
              <w:t>The Classical Quarterly, New Series</w:t>
            </w:r>
            <w:r w:rsidR="004A5675">
              <w:rPr>
                <w:rFonts w:eastAsia="Calibri"/>
                <w:lang w:val="en-GB"/>
              </w:rPr>
              <w:t xml:space="preserve"> 61: 493-520.</w:t>
            </w:r>
          </w:p>
          <w:p w14:paraId="6A972D3A" w14:textId="77777777" w:rsidR="00E0466A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44AF016E" w14:textId="77777777" w:rsidR="00E0466A" w:rsidRPr="00075DBD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/>
              </w:rPr>
            </w:pPr>
            <w:r w:rsidRPr="00075DBD">
              <w:rPr>
                <w:rFonts w:eastAsia="Calibri"/>
                <w:b/>
                <w:lang w:val="en-GB"/>
              </w:rPr>
              <w:t>WEEK</w:t>
            </w:r>
            <w:r w:rsidR="00075DBD" w:rsidRPr="00075DBD">
              <w:rPr>
                <w:rFonts w:eastAsia="Calibri"/>
                <w:b/>
                <w:lang w:val="en-GB"/>
              </w:rPr>
              <w:t>S</w:t>
            </w:r>
            <w:r w:rsidRPr="00075DBD">
              <w:rPr>
                <w:rFonts w:eastAsia="Calibri"/>
                <w:b/>
                <w:lang w:val="en-GB"/>
              </w:rPr>
              <w:t xml:space="preserve"> 9</w:t>
            </w:r>
            <w:r w:rsidR="00075DBD" w:rsidRPr="00075DBD">
              <w:rPr>
                <w:rFonts w:eastAsia="Calibri"/>
                <w:b/>
                <w:lang w:val="en-GB"/>
              </w:rPr>
              <w:t>-12</w:t>
            </w:r>
            <w:r w:rsidRPr="00075DBD">
              <w:rPr>
                <w:rFonts w:eastAsia="Calibri"/>
                <w:b/>
                <w:lang w:val="en-GB"/>
              </w:rPr>
              <w:t xml:space="preserve">: </w:t>
            </w:r>
            <w:r w:rsidRPr="00075DBD">
              <w:rPr>
                <w:rFonts w:eastAsia="Calibri"/>
                <w:b/>
                <w:i/>
                <w:lang w:val="en-GB"/>
              </w:rPr>
              <w:t>Phaedrus</w:t>
            </w:r>
          </w:p>
          <w:p w14:paraId="08D6C05E" w14:textId="77777777" w:rsidR="00E0466A" w:rsidRPr="00075DBD" w:rsidRDefault="00075DBD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 xml:space="preserve">We will spend the final month of the semester on Plato’s </w:t>
            </w:r>
            <w:r>
              <w:rPr>
                <w:rFonts w:eastAsia="Calibri"/>
                <w:i/>
                <w:lang w:val="en-GB"/>
              </w:rPr>
              <w:t>Phaedrus</w:t>
            </w:r>
            <w:r>
              <w:rPr>
                <w:rFonts w:eastAsia="Calibri"/>
                <w:lang w:val="en-GB"/>
              </w:rPr>
              <w:t xml:space="preserve"> –</w:t>
            </w:r>
            <w:r w:rsidR="005E13E9">
              <w:rPr>
                <w:rFonts w:eastAsia="Calibri"/>
                <w:lang w:val="en-GB"/>
              </w:rPr>
              <w:t xml:space="preserve"> a puzzling but fascinating dialogue</w:t>
            </w:r>
            <w:r>
              <w:rPr>
                <w:rFonts w:eastAsia="Calibri"/>
                <w:lang w:val="en-GB"/>
              </w:rPr>
              <w:t xml:space="preserve"> on love, </w:t>
            </w:r>
            <w:r>
              <w:rPr>
                <w:rFonts w:eastAsia="Calibri"/>
                <w:i/>
                <w:lang w:val="en-GB"/>
              </w:rPr>
              <w:t>logos</w:t>
            </w:r>
            <w:r>
              <w:rPr>
                <w:rFonts w:eastAsia="Calibri"/>
                <w:lang w:val="en-GB"/>
              </w:rPr>
              <w:t>, and the relationship between the two.</w:t>
            </w:r>
          </w:p>
          <w:p w14:paraId="319E7CBD" w14:textId="77777777" w:rsidR="00F35FFE" w:rsidRDefault="00F35FFE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2824270B" w14:textId="77777777" w:rsidR="00F35FFE" w:rsidRPr="00F35FFE" w:rsidRDefault="005E13E9" w:rsidP="00FF3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lang w:val="en-GB"/>
              </w:rPr>
              <w:t>*</w:t>
            </w:r>
            <w:r w:rsidR="00075DBD">
              <w:rPr>
                <w:rFonts w:eastAsia="Calibri"/>
                <w:lang w:val="en-GB"/>
              </w:rPr>
              <w:t>Additional</w:t>
            </w:r>
            <w:r w:rsidR="004A5675">
              <w:rPr>
                <w:rFonts w:eastAsia="Calibri"/>
                <w:lang w:val="en-GB"/>
              </w:rPr>
              <w:t xml:space="preserve"> Reading</w:t>
            </w:r>
            <w:r w:rsidR="00075DBD">
              <w:rPr>
                <w:rFonts w:eastAsia="Calibri"/>
                <w:lang w:val="en-GB"/>
              </w:rPr>
              <w:t xml:space="preserve"> (for Week 11)</w:t>
            </w:r>
            <w:r w:rsidR="00F35FFE">
              <w:rPr>
                <w:rFonts w:eastAsia="Calibri"/>
                <w:lang w:val="en-GB"/>
              </w:rPr>
              <w:t>:</w:t>
            </w:r>
            <w:r w:rsidR="00F35FFE">
              <w:rPr>
                <w:rFonts w:eastAsia="Calibri"/>
                <w:lang w:val="en-GB"/>
              </w:rPr>
              <w:br/>
            </w:r>
            <w:r w:rsidR="00F35FFE">
              <w:t>Heath, M.</w:t>
            </w:r>
            <w:r w:rsidR="00F35FFE" w:rsidRPr="0042290A">
              <w:t xml:space="preserve"> </w:t>
            </w:r>
            <w:r w:rsidR="00F35FFE">
              <w:t>(1989)</w:t>
            </w:r>
            <w:r w:rsidR="00F35FFE" w:rsidRPr="0042290A">
              <w:t xml:space="preserve"> “The Unity of Plato’s </w:t>
            </w:r>
            <w:r w:rsidR="00F35FFE" w:rsidRPr="0042290A">
              <w:rPr>
                <w:i/>
                <w:iCs/>
              </w:rPr>
              <w:t>Phaedrus</w:t>
            </w:r>
            <w:r w:rsidR="00F35FFE" w:rsidRPr="0042290A">
              <w:t xml:space="preserve">,” </w:t>
            </w:r>
            <w:r w:rsidR="00F35FFE" w:rsidRPr="0042290A">
              <w:rPr>
                <w:i/>
                <w:iCs/>
              </w:rPr>
              <w:t>Oxford Studies in Ancient Philosophy</w:t>
            </w:r>
            <w:r w:rsidR="004A5675">
              <w:t xml:space="preserve"> 7: 150-1</w:t>
            </w:r>
            <w:r w:rsidR="00F35FFE" w:rsidRPr="0042290A">
              <w:t>73.</w:t>
            </w:r>
          </w:p>
          <w:p w14:paraId="0DFA964F" w14:textId="77777777" w:rsidR="00E0466A" w:rsidRDefault="00E0466A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616508D9" w14:textId="77777777" w:rsidR="00045AA2" w:rsidRDefault="00045AA2" w:rsidP="00FF359F">
            <w:pPr>
              <w:autoSpaceDE w:val="0"/>
              <w:autoSpaceDN w:val="0"/>
              <w:adjustRightInd w:val="0"/>
              <w:rPr>
                <w:rFonts w:eastAsia="Calibri"/>
                <w:lang w:val="en-GB"/>
              </w:rPr>
            </w:pPr>
          </w:p>
          <w:p w14:paraId="7C1156DA" w14:textId="77777777" w:rsidR="00045AA2" w:rsidRPr="00862319" w:rsidRDefault="00862319" w:rsidP="00FF359F">
            <w:pPr>
              <w:autoSpaceDE w:val="0"/>
              <w:autoSpaceDN w:val="0"/>
              <w:adjustRightInd w:val="0"/>
              <w:rPr>
                <w:rFonts w:eastAsia="Calibri"/>
                <w:b/>
                <w:lang w:val="en-GB"/>
              </w:rPr>
            </w:pPr>
            <w:r w:rsidRPr="00862319">
              <w:rPr>
                <w:rFonts w:eastAsia="Calibri"/>
                <w:b/>
                <w:lang w:val="en-GB"/>
              </w:rPr>
              <w:t>Final Paper due: max. 15 pages</w:t>
            </w:r>
          </w:p>
          <w:p w14:paraId="403DEA39" w14:textId="77777777" w:rsidR="000F4FD4" w:rsidRPr="00942E52" w:rsidRDefault="000F4FD4" w:rsidP="00FF359F">
            <w:pPr>
              <w:autoSpaceDE w:val="0"/>
              <w:autoSpaceDN w:val="0"/>
              <w:adjustRightInd w:val="0"/>
              <w:rPr>
                <w:rFonts w:cs="Arial"/>
                <w:color w:val="002060"/>
                <w:sz w:val="20"/>
                <w:szCs w:val="20"/>
              </w:rPr>
            </w:pPr>
          </w:p>
        </w:tc>
      </w:tr>
    </w:tbl>
    <w:p w14:paraId="59E7687F" w14:textId="77777777" w:rsidR="00F37D73" w:rsidRDefault="00F37D73">
      <w:pPr>
        <w:widowControl/>
      </w:pPr>
    </w:p>
    <w:p w14:paraId="1DA0C09B" w14:textId="77777777" w:rsidR="00E64859" w:rsidRPr="00045AA2" w:rsidRDefault="00E64859" w:rsidP="00045AA2"/>
    <w:p w14:paraId="3B09C670" w14:textId="77777777" w:rsidR="00045AA2" w:rsidRPr="00780FBF" w:rsidRDefault="00045AA2" w:rsidP="00045AA2">
      <w:pPr>
        <w:rPr>
          <w:b/>
        </w:rPr>
      </w:pPr>
      <w:r w:rsidRPr="00780FBF">
        <w:rPr>
          <w:b/>
        </w:rPr>
        <w:lastRenderedPageBreak/>
        <w:t>(4) TEACHING AND LEARNING METHODS – ASSESSMENT</w:t>
      </w:r>
    </w:p>
    <w:p w14:paraId="010E7F26" w14:textId="77777777" w:rsidR="00045AA2" w:rsidRPr="00045AA2" w:rsidRDefault="00045AA2" w:rsidP="00045AA2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0F4FD4" w:rsidRPr="00BF6CD5" w14:paraId="327BE2B3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24307AB8" w14:textId="77777777" w:rsidR="000F4FD4" w:rsidRPr="009B32C2" w:rsidRDefault="002E3C95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sz w:val="20"/>
                <w:szCs w:val="20"/>
              </w:rPr>
              <w:t>TEACHING</w:t>
            </w:r>
            <w:r w:rsidRPr="009B32C2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="00F049F0">
              <w:rPr>
                <w:rFonts w:cs="Arial"/>
                <w:b/>
                <w:sz w:val="20"/>
                <w:szCs w:val="20"/>
              </w:rPr>
              <w:t>FORMAT</w:t>
            </w:r>
            <w:r w:rsidR="00F049F0" w:rsidRPr="009B32C2">
              <w:rPr>
                <w:rFonts w:cs="Arial"/>
                <w:b/>
                <w:sz w:val="20"/>
                <w:szCs w:val="20"/>
                <w:lang w:val="el-GR"/>
              </w:rPr>
              <w:t xml:space="preserve"> </w:t>
            </w:r>
            <w:r w:rsidR="000F4FD4" w:rsidRPr="009B32C2">
              <w:rPr>
                <w:rFonts w:cs="Arial"/>
                <w:b/>
                <w:sz w:val="20"/>
                <w:szCs w:val="20"/>
                <w:lang w:val="el-GR"/>
              </w:rPr>
              <w:br/>
            </w:r>
          </w:p>
        </w:tc>
        <w:tc>
          <w:tcPr>
            <w:tcW w:w="5166" w:type="dxa"/>
          </w:tcPr>
          <w:p w14:paraId="72E0BB3C" w14:textId="77777777" w:rsidR="009737A8" w:rsidRPr="00700BE6" w:rsidRDefault="00410251" w:rsidP="004240A2">
            <w:r>
              <w:t>Class discussion.</w:t>
            </w:r>
          </w:p>
        </w:tc>
      </w:tr>
      <w:tr w:rsidR="000F4FD4" w:rsidRPr="00BF6CD5" w14:paraId="2C66FDAB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55B4AC7E" w14:textId="77777777" w:rsidR="000F4FD4" w:rsidRPr="00942E52" w:rsidRDefault="002E3C95" w:rsidP="007673F3">
            <w:pPr>
              <w:jc w:val="right"/>
              <w:rPr>
                <w:rFonts w:cs="Arial"/>
                <w:i/>
                <w:sz w:val="16"/>
                <w:szCs w:val="16"/>
              </w:rPr>
            </w:pPr>
            <w:r w:rsidRPr="00942E52">
              <w:rPr>
                <w:rFonts w:cs="Arial"/>
                <w:b/>
                <w:sz w:val="20"/>
                <w:szCs w:val="20"/>
              </w:rPr>
              <w:t>USE OF INFORMATION AND COMMUNICATION TECHNOLOGIES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0F4A31D9" w14:textId="77777777" w:rsidR="000F4FD4" w:rsidRPr="00780FBF" w:rsidRDefault="00410251" w:rsidP="00780FBF">
            <w:r>
              <w:t>Use of E</w:t>
            </w:r>
            <w:r w:rsidR="004641A2" w:rsidRPr="00780FBF">
              <w:t>-class online platform.</w:t>
            </w:r>
          </w:p>
        </w:tc>
      </w:tr>
      <w:tr w:rsidR="000F4FD4" w:rsidRPr="00705AAD" w14:paraId="07C8CB3F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061E4691" w14:textId="77777777" w:rsidR="000F4FD4" w:rsidRPr="00705AAD" w:rsidRDefault="00F049F0" w:rsidP="007673F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F049F0">
              <w:rPr>
                <w:rFonts w:cs="Arial"/>
                <w:b/>
                <w:sz w:val="20"/>
                <w:szCs w:val="20"/>
                <w:lang w:val="el-GR"/>
              </w:rPr>
              <w:t xml:space="preserve">TEACHING </w:t>
            </w:r>
            <w:r>
              <w:rPr>
                <w:rFonts w:cs="Arial"/>
                <w:b/>
                <w:sz w:val="20"/>
                <w:szCs w:val="20"/>
                <w:lang w:val="el-GR"/>
              </w:rPr>
              <w:t>STRUCTURE</w:t>
            </w:r>
          </w:p>
          <w:p w14:paraId="5285DA0D" w14:textId="77777777" w:rsidR="000F4FD4" w:rsidRPr="00705AAD" w:rsidRDefault="000F4FD4" w:rsidP="007673F3">
            <w:pPr>
              <w:jc w:val="both"/>
              <w:rPr>
                <w:rFonts w:cs="Arial"/>
                <w:i/>
                <w:sz w:val="16"/>
                <w:szCs w:val="16"/>
                <w:lang w:val="el-GR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238"/>
              <w:gridCol w:w="1697"/>
            </w:tblGrid>
            <w:tr w:rsidR="003457C6" w:rsidRPr="003457C6" w14:paraId="72953AC2" w14:textId="77777777" w:rsidTr="00700BE6">
              <w:tc>
                <w:tcPr>
                  <w:tcW w:w="3238" w:type="dxa"/>
                  <w:shd w:val="clear" w:color="auto" w:fill="DDD9C3" w:themeFill="background2" w:themeFillShade="E6"/>
                  <w:vAlign w:val="center"/>
                </w:tcPr>
                <w:p w14:paraId="740B1975" w14:textId="77777777" w:rsidR="000F4FD4" w:rsidRPr="003457C6" w:rsidRDefault="00F049F0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Activity</w:t>
                  </w:r>
                </w:p>
              </w:tc>
              <w:tc>
                <w:tcPr>
                  <w:tcW w:w="1697" w:type="dxa"/>
                  <w:shd w:val="clear" w:color="auto" w:fill="DDD9C3" w:themeFill="background2" w:themeFillShade="E6"/>
                  <w:vAlign w:val="center"/>
                </w:tcPr>
                <w:p w14:paraId="68DC9D8E" w14:textId="77777777" w:rsidR="000F4FD4" w:rsidRPr="003457C6" w:rsidRDefault="00F049F0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Semester Workload</w:t>
                  </w:r>
                </w:p>
              </w:tc>
            </w:tr>
            <w:tr w:rsidR="003457C6" w:rsidRPr="003457C6" w14:paraId="7F0F83EE" w14:textId="77777777" w:rsidTr="00700BE6">
              <w:tc>
                <w:tcPr>
                  <w:tcW w:w="3238" w:type="dxa"/>
                </w:tcPr>
                <w:p w14:paraId="61FC0D13" w14:textId="77777777" w:rsidR="000F4FD4" w:rsidRPr="003457C6" w:rsidRDefault="00F049F0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Lectures, Seminars</w:t>
                  </w:r>
                </w:p>
              </w:tc>
              <w:tc>
                <w:tcPr>
                  <w:tcW w:w="1697" w:type="dxa"/>
                </w:tcPr>
                <w:p w14:paraId="1D8E819F" w14:textId="77777777" w:rsidR="000F4FD4" w:rsidRPr="003457C6" w:rsidRDefault="00700BE6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39</w:t>
                  </w:r>
                </w:p>
              </w:tc>
            </w:tr>
            <w:tr w:rsidR="003457C6" w:rsidRPr="003457C6" w14:paraId="452C3E6F" w14:textId="77777777" w:rsidTr="00700BE6">
              <w:tc>
                <w:tcPr>
                  <w:tcW w:w="3238" w:type="dxa"/>
                  <w:shd w:val="clear" w:color="auto" w:fill="auto"/>
                </w:tcPr>
                <w:p w14:paraId="11453321" w14:textId="77777777" w:rsidR="000F4FD4" w:rsidRPr="003457C6" w:rsidRDefault="00F049F0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Presentation preparation</w:t>
                  </w:r>
                </w:p>
              </w:tc>
              <w:tc>
                <w:tcPr>
                  <w:tcW w:w="1697" w:type="dxa"/>
                </w:tcPr>
                <w:p w14:paraId="26C74198" w14:textId="77777777" w:rsidR="000F4FD4" w:rsidRPr="003457C6" w:rsidRDefault="00700BE6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21</w:t>
                  </w:r>
                </w:p>
              </w:tc>
            </w:tr>
            <w:tr w:rsidR="003457C6" w:rsidRPr="003457C6" w14:paraId="2B60BAE9" w14:textId="77777777" w:rsidTr="00700BE6">
              <w:tc>
                <w:tcPr>
                  <w:tcW w:w="3238" w:type="dxa"/>
                  <w:shd w:val="clear" w:color="auto" w:fill="auto"/>
                </w:tcPr>
                <w:p w14:paraId="4D63F679" w14:textId="77777777" w:rsidR="000F4FD4" w:rsidRPr="003457C6" w:rsidRDefault="003457C6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Independent study</w:t>
                  </w:r>
                </w:p>
              </w:tc>
              <w:tc>
                <w:tcPr>
                  <w:tcW w:w="1697" w:type="dxa"/>
                </w:tcPr>
                <w:p w14:paraId="0EF36B1C" w14:textId="77777777" w:rsidR="000F4FD4" w:rsidRPr="003457C6" w:rsidRDefault="00C831AD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120</w:t>
                  </w:r>
                </w:p>
              </w:tc>
            </w:tr>
            <w:tr w:rsidR="003457C6" w:rsidRPr="003457C6" w14:paraId="78C4087B" w14:textId="77777777" w:rsidTr="00700BE6">
              <w:tc>
                <w:tcPr>
                  <w:tcW w:w="3238" w:type="dxa"/>
                  <w:shd w:val="clear" w:color="auto" w:fill="auto"/>
                </w:tcPr>
                <w:p w14:paraId="38EF36CA" w14:textId="77777777" w:rsidR="000F4FD4" w:rsidRPr="003457C6" w:rsidRDefault="003457C6" w:rsidP="007673F3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Project (paper preparation and submission</w:t>
                  </w:r>
                </w:p>
              </w:tc>
              <w:tc>
                <w:tcPr>
                  <w:tcW w:w="1697" w:type="dxa"/>
                </w:tcPr>
                <w:p w14:paraId="4C15BB6C" w14:textId="77777777" w:rsidR="000F4FD4" w:rsidRPr="003457C6" w:rsidRDefault="00C831AD" w:rsidP="007673F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3457C6">
                    <w:rPr>
                      <w:rFonts w:cs="Arial"/>
                      <w:szCs w:val="20"/>
                    </w:rPr>
                    <w:t>120</w:t>
                  </w:r>
                </w:p>
              </w:tc>
            </w:tr>
            <w:tr w:rsidR="003457C6" w:rsidRPr="003457C6" w14:paraId="7EE022E8" w14:textId="77777777" w:rsidTr="00700BE6">
              <w:tc>
                <w:tcPr>
                  <w:tcW w:w="3238" w:type="dxa"/>
                </w:tcPr>
                <w:p w14:paraId="13864641" w14:textId="77777777" w:rsidR="003457C6" w:rsidRPr="00680A53" w:rsidRDefault="003457C6" w:rsidP="003457C6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680A53">
                    <w:rPr>
                      <w:b/>
                      <w:iCs/>
                      <w:sz w:val="22"/>
                      <w:szCs w:val="22"/>
                    </w:rPr>
                    <w:t>Total</w:t>
                  </w:r>
                </w:p>
                <w:p w14:paraId="2141F0ED" w14:textId="77777777" w:rsidR="0071030B" w:rsidRPr="003457C6" w:rsidRDefault="003457C6" w:rsidP="003457C6">
                  <w:pPr>
                    <w:rPr>
                      <w:iCs/>
                      <w:sz w:val="22"/>
                      <w:szCs w:val="22"/>
                    </w:rPr>
                  </w:pPr>
                  <w:r w:rsidRPr="003457C6">
                    <w:rPr>
                      <w:iCs/>
                      <w:sz w:val="22"/>
                      <w:szCs w:val="22"/>
                    </w:rPr>
                    <w:t>(30 hours of work per credit unit)</w:t>
                  </w:r>
                </w:p>
              </w:tc>
              <w:tc>
                <w:tcPr>
                  <w:tcW w:w="1697" w:type="dxa"/>
                  <w:vAlign w:val="center"/>
                </w:tcPr>
                <w:p w14:paraId="79C4683F" w14:textId="77777777" w:rsidR="000F4FD4" w:rsidRPr="003457C6" w:rsidRDefault="0071030B" w:rsidP="007673F3">
                  <w:pPr>
                    <w:jc w:val="center"/>
                    <w:rPr>
                      <w:rFonts w:cs="Arial"/>
                      <w:b/>
                      <w:i/>
                      <w:szCs w:val="20"/>
                    </w:rPr>
                  </w:pPr>
                  <w:r w:rsidRPr="003457C6">
                    <w:rPr>
                      <w:rFonts w:cs="Arial"/>
                      <w:b/>
                      <w:i/>
                      <w:szCs w:val="20"/>
                    </w:rPr>
                    <w:t>300</w:t>
                  </w:r>
                </w:p>
              </w:tc>
            </w:tr>
          </w:tbl>
          <w:p w14:paraId="77A81F61" w14:textId="77777777" w:rsidR="000F4FD4" w:rsidRPr="00705AAD" w:rsidRDefault="000F4FD4" w:rsidP="007673F3">
            <w:pPr>
              <w:rPr>
                <w:rFonts w:ascii="Tahoma" w:hAnsi="Tahoma" w:cs="Tahoma"/>
              </w:rPr>
            </w:pPr>
          </w:p>
        </w:tc>
      </w:tr>
      <w:tr w:rsidR="00F37D73" w:rsidRPr="00705AAD" w14:paraId="031E46D2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3D29DEDE" w14:textId="77777777" w:rsidR="00F37D73" w:rsidRPr="00705AAD" w:rsidRDefault="00F37D73" w:rsidP="00F37D73">
            <w:pPr>
              <w:jc w:val="right"/>
              <w:rPr>
                <w:rFonts w:cs="Arial"/>
                <w:b/>
                <w:sz w:val="20"/>
                <w:szCs w:val="20"/>
                <w:lang w:val="el-GR"/>
              </w:rPr>
            </w:pPr>
            <w:r w:rsidRPr="003457C6">
              <w:rPr>
                <w:rFonts w:cs="Arial"/>
                <w:b/>
                <w:sz w:val="20"/>
                <w:szCs w:val="20"/>
                <w:lang w:val="el-GR"/>
              </w:rPr>
              <w:t>STUDENT EVALUATION</w:t>
            </w:r>
          </w:p>
          <w:p w14:paraId="0A57C038" w14:textId="77777777" w:rsidR="00F37D73" w:rsidRPr="00F049F0" w:rsidRDefault="00F37D73" w:rsidP="00E64859">
            <w:pPr>
              <w:rPr>
                <w:rFonts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6375E874" w14:textId="77777777" w:rsidR="00F37D73" w:rsidRPr="00C96AEF" w:rsidRDefault="00F37D73" w:rsidP="00F37D73"/>
          <w:p w14:paraId="3D638840" w14:textId="77777777" w:rsidR="00F37D73" w:rsidRPr="003457C6" w:rsidRDefault="00410251" w:rsidP="00F37D73">
            <w:r>
              <w:t>1. Class participation (20%)</w:t>
            </w:r>
            <w:r>
              <w:br/>
              <w:t>2. Weekly outlines (20%)</w:t>
            </w:r>
            <w:r>
              <w:br/>
              <w:t>3. Midterm Paper (20%)</w:t>
            </w:r>
          </w:p>
          <w:p w14:paraId="2E6EDE7C" w14:textId="77777777" w:rsidR="00F37D73" w:rsidRDefault="00410251" w:rsidP="00F37D73">
            <w:r>
              <w:t>4. Final Paper (3</w:t>
            </w:r>
            <w:r w:rsidR="00F37D73" w:rsidRPr="003457C6">
              <w:t>0%)</w:t>
            </w:r>
          </w:p>
          <w:p w14:paraId="6E5A0FB7" w14:textId="77777777" w:rsidR="00410251" w:rsidRDefault="00410251" w:rsidP="00F37D73">
            <w:r>
              <w:t>5. Oral Report (10%)</w:t>
            </w:r>
          </w:p>
          <w:p w14:paraId="1019C310" w14:textId="77777777" w:rsidR="009E3A41" w:rsidRDefault="009E3A41" w:rsidP="00F37D73"/>
          <w:p w14:paraId="475CFFB9" w14:textId="77777777" w:rsidR="009E3A41" w:rsidRPr="003457C6" w:rsidRDefault="009E3A41" w:rsidP="00F37D73">
            <w:r>
              <w:t>*The oral report is optional. If it is not selected, the final paper will count for 40% of the final grade for the course.</w:t>
            </w:r>
          </w:p>
          <w:p w14:paraId="55CB3DEA" w14:textId="77777777" w:rsidR="00F37D73" w:rsidRPr="003457C6" w:rsidRDefault="00F37D73" w:rsidP="00F37D73"/>
          <w:p w14:paraId="71130E73" w14:textId="77777777" w:rsidR="00F37D73" w:rsidRPr="00F37D73" w:rsidRDefault="00F37D73" w:rsidP="00410251"/>
        </w:tc>
      </w:tr>
    </w:tbl>
    <w:p w14:paraId="3B8F8F47" w14:textId="77777777" w:rsidR="003457C6" w:rsidRDefault="003457C6" w:rsidP="003457C6"/>
    <w:p w14:paraId="0D7857FD" w14:textId="77777777" w:rsidR="003457C6" w:rsidRDefault="003457C6" w:rsidP="003457C6"/>
    <w:p w14:paraId="5CD42A13" w14:textId="77777777" w:rsidR="000F4FD4" w:rsidRPr="003457C6" w:rsidRDefault="003457C6" w:rsidP="003457C6">
      <w:pPr>
        <w:rPr>
          <w:b/>
        </w:rPr>
      </w:pPr>
      <w:r w:rsidRPr="003457C6">
        <w:rPr>
          <w:b/>
        </w:rPr>
        <w:t>(5) RECOMMENDED BIBLIOGRAPHY</w:t>
      </w:r>
    </w:p>
    <w:p w14:paraId="525EF856" w14:textId="77777777" w:rsidR="003457C6" w:rsidRPr="003457C6" w:rsidRDefault="003457C6" w:rsidP="003457C6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0F4FD4" w:rsidRPr="00705AAD" w14:paraId="061C541F" w14:textId="77777777" w:rsidTr="007673F3">
        <w:tc>
          <w:tcPr>
            <w:tcW w:w="8472" w:type="dxa"/>
          </w:tcPr>
          <w:p w14:paraId="2069E87D" w14:textId="77777777" w:rsidR="00B07B0C" w:rsidRPr="00847156" w:rsidRDefault="00B07B0C" w:rsidP="008471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08D6CF" w14:textId="77777777" w:rsidR="001A31EA" w:rsidRDefault="001A31EA" w:rsidP="001A31EA">
            <w:pPr>
              <w:rPr>
                <w:rFonts w:ascii="Times New Roman" w:hAnsi="Times New Roman"/>
                <w:sz w:val="24"/>
              </w:rPr>
            </w:pPr>
            <w:r w:rsidRPr="001A31EA">
              <w:rPr>
                <w:rFonts w:ascii="Times New Roman" w:hAnsi="Times New Roman"/>
                <w:sz w:val="24"/>
              </w:rPr>
              <w:t xml:space="preserve">Bensen Cain, R. (2007) </w:t>
            </w:r>
            <w:r w:rsidRPr="001A31EA">
              <w:rPr>
                <w:rFonts w:ascii="Times New Roman" w:hAnsi="Times New Roman"/>
                <w:i/>
                <w:sz w:val="24"/>
              </w:rPr>
              <w:t xml:space="preserve">The Socratic Method: Plato’s Use of Philosophical Drama. </w:t>
            </w:r>
            <w:r w:rsidRPr="001A31EA">
              <w:rPr>
                <w:rFonts w:ascii="Times New Roman" w:hAnsi="Times New Roman"/>
                <w:sz w:val="24"/>
              </w:rPr>
              <w:t>London and New York: Continuum International Publishing Group.</w:t>
            </w:r>
          </w:p>
          <w:p w14:paraId="60257D0B" w14:textId="77777777" w:rsidR="001A31EA" w:rsidRDefault="001A31EA" w:rsidP="001A31EA">
            <w:pPr>
              <w:rPr>
                <w:rFonts w:ascii="Times New Roman" w:hAnsi="Times New Roman"/>
                <w:sz w:val="24"/>
              </w:rPr>
            </w:pPr>
          </w:p>
          <w:p w14:paraId="193AF188" w14:textId="77777777" w:rsidR="001A31EA" w:rsidRPr="001A31EA" w:rsidRDefault="001A31EA" w:rsidP="001A31E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A31EA">
              <w:rPr>
                <w:rFonts w:ascii="Times New Roman" w:hAnsi="Times New Roman"/>
                <w:sz w:val="24"/>
              </w:rPr>
              <w:t>Bobonich</w:t>
            </w:r>
            <w:proofErr w:type="spellEnd"/>
            <w:r w:rsidRPr="001A31EA">
              <w:rPr>
                <w:rFonts w:ascii="Times New Roman" w:hAnsi="Times New Roman"/>
                <w:sz w:val="24"/>
              </w:rPr>
              <w:t xml:space="preserve">, C. (2011) “Socrates and </w:t>
            </w:r>
            <w:r w:rsidRPr="001A31EA">
              <w:rPr>
                <w:rFonts w:ascii="Times New Roman" w:hAnsi="Times New Roman"/>
                <w:i/>
                <w:sz w:val="24"/>
              </w:rPr>
              <w:t>Eudaimonia</w:t>
            </w:r>
            <w:r w:rsidRPr="001A31EA">
              <w:rPr>
                <w:rFonts w:ascii="Times New Roman" w:hAnsi="Times New Roman"/>
                <w:sz w:val="24"/>
              </w:rPr>
              <w:t xml:space="preserve">.” </w:t>
            </w:r>
            <w:r w:rsidRPr="00C96AEF">
              <w:rPr>
                <w:rFonts w:ascii="Times New Roman" w:hAnsi="Times New Roman"/>
                <w:sz w:val="24"/>
                <w:lang w:val="it-IT"/>
              </w:rPr>
              <w:t xml:space="preserve">In D. R. Morrison, ed. </w:t>
            </w:r>
            <w:r w:rsidRPr="001A31EA">
              <w:rPr>
                <w:rFonts w:ascii="Times New Roman" w:hAnsi="Times New Roman"/>
                <w:i/>
                <w:sz w:val="24"/>
              </w:rPr>
              <w:t>The Cambridge Companion to Socrates</w:t>
            </w:r>
            <w:r w:rsidRPr="001A31EA">
              <w:rPr>
                <w:rFonts w:ascii="Times New Roman" w:hAnsi="Times New Roman"/>
                <w:sz w:val="24"/>
              </w:rPr>
              <w:t>, 293-332. Cambridge.</w:t>
            </w:r>
          </w:p>
          <w:p w14:paraId="05509C6B" w14:textId="77777777" w:rsidR="001A31EA" w:rsidRPr="001A31EA" w:rsidRDefault="001A31EA" w:rsidP="001A31EA">
            <w:pPr>
              <w:rPr>
                <w:rFonts w:ascii="Times New Roman" w:hAnsi="Times New Roman"/>
                <w:sz w:val="24"/>
              </w:rPr>
            </w:pPr>
          </w:p>
          <w:p w14:paraId="008D5638" w14:textId="77777777" w:rsidR="001A31EA" w:rsidRDefault="001A31EA" w:rsidP="001A31EA">
            <w:pPr>
              <w:rPr>
                <w:rFonts w:ascii="Times New Roman" w:hAnsi="Times New Roman"/>
                <w:sz w:val="24"/>
              </w:rPr>
            </w:pPr>
            <w:r w:rsidRPr="001A31EA">
              <w:rPr>
                <w:rFonts w:ascii="Times New Roman" w:hAnsi="Times New Roman"/>
                <w:sz w:val="24"/>
              </w:rPr>
              <w:t xml:space="preserve">Brickhouse, T. C. and Smith, N. D. (1994) </w:t>
            </w:r>
            <w:r w:rsidRPr="001A31EA">
              <w:rPr>
                <w:rFonts w:ascii="Times New Roman" w:hAnsi="Times New Roman"/>
                <w:i/>
                <w:sz w:val="24"/>
              </w:rPr>
              <w:t>Plato’s Socrates</w:t>
            </w:r>
            <w:r w:rsidRPr="001A31EA">
              <w:rPr>
                <w:rFonts w:ascii="Times New Roman" w:hAnsi="Times New Roman"/>
                <w:sz w:val="24"/>
              </w:rPr>
              <w:t>. New York and Oxford.</w:t>
            </w:r>
          </w:p>
          <w:p w14:paraId="49314F4D" w14:textId="77777777" w:rsidR="001A31EA" w:rsidRDefault="001A31EA" w:rsidP="001A31EA">
            <w:pPr>
              <w:rPr>
                <w:rFonts w:ascii="Times New Roman" w:hAnsi="Times New Roman"/>
                <w:sz w:val="24"/>
              </w:rPr>
            </w:pPr>
          </w:p>
          <w:p w14:paraId="03BC1638" w14:textId="77777777" w:rsidR="001A31EA" w:rsidRDefault="001A31EA" w:rsidP="001A31EA">
            <w:pPr>
              <w:rPr>
                <w:rFonts w:ascii="Times New Roman" w:hAnsi="Times New Roman"/>
                <w:sz w:val="24"/>
              </w:rPr>
            </w:pPr>
            <w:r w:rsidRPr="001A31EA">
              <w:rPr>
                <w:rFonts w:ascii="Times New Roman" w:hAnsi="Times New Roman"/>
                <w:sz w:val="24"/>
              </w:rPr>
              <w:t xml:space="preserve">---------- (2007) “The Myth of the Afterlife in Plato’s </w:t>
            </w:r>
            <w:r w:rsidRPr="001A31EA">
              <w:rPr>
                <w:rFonts w:ascii="Times New Roman" w:hAnsi="Times New Roman"/>
                <w:i/>
                <w:sz w:val="24"/>
              </w:rPr>
              <w:t>Gorgias</w:t>
            </w:r>
            <w:r w:rsidRPr="001A31EA">
              <w:rPr>
                <w:rFonts w:ascii="Times New Roman" w:hAnsi="Times New Roman"/>
                <w:sz w:val="24"/>
              </w:rPr>
              <w:t xml:space="preserve">.” In M. Erler and L. Brisson (eds.) Gorgias – Menon: </w:t>
            </w:r>
            <w:r w:rsidRPr="001A31EA">
              <w:rPr>
                <w:rFonts w:ascii="Times New Roman" w:hAnsi="Times New Roman"/>
                <w:i/>
                <w:sz w:val="24"/>
              </w:rPr>
              <w:t xml:space="preserve">Selected Papers from the Seventh Symposium </w:t>
            </w:r>
            <w:proofErr w:type="spellStart"/>
            <w:r w:rsidRPr="001A31EA">
              <w:rPr>
                <w:rFonts w:ascii="Times New Roman" w:hAnsi="Times New Roman"/>
                <w:i/>
                <w:sz w:val="24"/>
              </w:rPr>
              <w:t>Platonicum</w:t>
            </w:r>
            <w:proofErr w:type="spellEnd"/>
            <w:r w:rsidRPr="001A31EA">
              <w:rPr>
                <w:rFonts w:ascii="Times New Roman" w:hAnsi="Times New Roman"/>
                <w:sz w:val="24"/>
              </w:rPr>
              <w:t>, 128-137. St. Augustin: Academia Verlag.</w:t>
            </w:r>
          </w:p>
          <w:p w14:paraId="61AD07BB" w14:textId="77777777" w:rsidR="001A31EA" w:rsidRDefault="001A31EA" w:rsidP="00847156">
            <w:pPr>
              <w:rPr>
                <w:rFonts w:ascii="Times New Roman" w:hAnsi="Times New Roman"/>
                <w:sz w:val="24"/>
              </w:rPr>
            </w:pPr>
          </w:p>
          <w:p w14:paraId="460E8346" w14:textId="77777777" w:rsidR="00847156" w:rsidRPr="00847156" w:rsidRDefault="00847156" w:rsidP="008471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47156">
              <w:rPr>
                <w:rFonts w:ascii="Times New Roman" w:hAnsi="Times New Roman"/>
                <w:sz w:val="24"/>
              </w:rPr>
              <w:t>Fussi</w:t>
            </w:r>
            <w:proofErr w:type="spellEnd"/>
            <w:r w:rsidRPr="00847156">
              <w:rPr>
                <w:rFonts w:ascii="Times New Roman" w:hAnsi="Times New Roman"/>
                <w:sz w:val="24"/>
              </w:rPr>
              <w:t xml:space="preserve">, A. (2001) “The Myth of the Last Judgment in the </w:t>
            </w:r>
            <w:r w:rsidRPr="00847156">
              <w:rPr>
                <w:rFonts w:ascii="Times New Roman" w:hAnsi="Times New Roman"/>
                <w:i/>
                <w:sz w:val="24"/>
              </w:rPr>
              <w:t>Gorgias</w:t>
            </w:r>
            <w:r w:rsidRPr="00847156">
              <w:rPr>
                <w:rFonts w:ascii="Times New Roman" w:hAnsi="Times New Roman"/>
                <w:sz w:val="24"/>
              </w:rPr>
              <w:t xml:space="preserve">,” </w:t>
            </w:r>
            <w:r w:rsidRPr="00847156">
              <w:rPr>
                <w:rFonts w:ascii="Times New Roman" w:hAnsi="Times New Roman"/>
                <w:i/>
                <w:sz w:val="24"/>
              </w:rPr>
              <w:t>Review of Metaphysics</w:t>
            </w:r>
            <w:r w:rsidRPr="00847156">
              <w:rPr>
                <w:rFonts w:ascii="Times New Roman" w:hAnsi="Times New Roman"/>
                <w:sz w:val="24"/>
              </w:rPr>
              <w:t xml:space="preserve"> 54: 529-552.</w:t>
            </w:r>
          </w:p>
          <w:p w14:paraId="35CEF550" w14:textId="77777777" w:rsidR="00847156" w:rsidRDefault="00847156" w:rsidP="00847156">
            <w:pPr>
              <w:rPr>
                <w:rFonts w:ascii="Times New Roman" w:hAnsi="Times New Roman"/>
                <w:sz w:val="24"/>
              </w:rPr>
            </w:pPr>
          </w:p>
          <w:p w14:paraId="5FA5D294" w14:textId="77777777" w:rsidR="00847156" w:rsidRDefault="00847156" w:rsidP="00847156">
            <w:pPr>
              <w:rPr>
                <w:rFonts w:ascii="Times New Roman" w:hAnsi="Times New Roman"/>
                <w:sz w:val="24"/>
              </w:rPr>
            </w:pPr>
          </w:p>
          <w:p w14:paraId="778C73C5" w14:textId="77777777" w:rsidR="00847156" w:rsidRPr="00C86540" w:rsidRDefault="00847156" w:rsidP="008471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Gould, J. (1955) </w:t>
            </w:r>
            <w:r>
              <w:rPr>
                <w:rFonts w:ascii="Times New Roman" w:hAnsi="Times New Roman"/>
                <w:i/>
                <w:sz w:val="24"/>
              </w:rPr>
              <w:t>The Development of Plato’s Ethics</w:t>
            </w:r>
            <w:r>
              <w:rPr>
                <w:rFonts w:ascii="Times New Roman" w:hAnsi="Times New Roman"/>
                <w:sz w:val="24"/>
              </w:rPr>
              <w:t>. Cambridge.</w:t>
            </w:r>
          </w:p>
          <w:p w14:paraId="62423E02" w14:textId="77777777" w:rsidR="00847156" w:rsidRDefault="00847156" w:rsidP="00847156">
            <w:pPr>
              <w:rPr>
                <w:rFonts w:ascii="Times New Roman" w:hAnsi="Times New Roman"/>
                <w:sz w:val="24"/>
              </w:rPr>
            </w:pPr>
          </w:p>
          <w:p w14:paraId="2251ACDE" w14:textId="77777777" w:rsidR="00847156" w:rsidRDefault="00847156" w:rsidP="008471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Hannan, N. (2021) “Knowledge and Voluntary Injustice in the </w:t>
            </w:r>
            <w:r>
              <w:rPr>
                <w:rFonts w:ascii="Times New Roman" w:hAnsi="Times New Roman"/>
                <w:i/>
                <w:sz w:val="24"/>
              </w:rPr>
              <w:t>Hippias Minor</w:t>
            </w:r>
            <w:r>
              <w:rPr>
                <w:rFonts w:ascii="Times New Roman" w:hAnsi="Times New Roman"/>
                <w:sz w:val="24"/>
              </w:rPr>
              <w:t xml:space="preserve">,”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Apeiron </w:t>
            </w:r>
            <w:r>
              <w:rPr>
                <w:rFonts w:ascii="Times New Roman" w:hAnsi="Times New Roman"/>
                <w:sz w:val="24"/>
              </w:rPr>
              <w:t>54: 545-569.</w:t>
            </w:r>
          </w:p>
          <w:p w14:paraId="326187D5" w14:textId="77777777" w:rsidR="001A31EA" w:rsidRDefault="001A31EA" w:rsidP="00847156">
            <w:pPr>
              <w:rPr>
                <w:rFonts w:ascii="Times New Roman" w:hAnsi="Times New Roman"/>
                <w:sz w:val="24"/>
              </w:rPr>
            </w:pPr>
          </w:p>
          <w:p w14:paraId="62A4BF48" w14:textId="77777777" w:rsidR="001A31EA" w:rsidRDefault="001A31EA" w:rsidP="008471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Irwin, T. H. (1977) </w:t>
            </w:r>
            <w:r>
              <w:rPr>
                <w:rFonts w:ascii="Times New Roman" w:hAnsi="Times New Roman"/>
                <w:i/>
                <w:sz w:val="24"/>
              </w:rPr>
              <w:t>Plato’s Moral Theory: The Early and Middle Dialogues</w:t>
            </w:r>
            <w:r>
              <w:rPr>
                <w:rFonts w:ascii="Times New Roman" w:hAnsi="Times New Roman"/>
                <w:sz w:val="24"/>
              </w:rPr>
              <w:t>. Oxford: Oxford University Press.</w:t>
            </w:r>
          </w:p>
          <w:p w14:paraId="654B233E" w14:textId="77777777" w:rsidR="001A31EA" w:rsidRDefault="001A31EA" w:rsidP="00847156">
            <w:pPr>
              <w:rPr>
                <w:rFonts w:ascii="Times New Roman" w:hAnsi="Times New Roman"/>
                <w:sz w:val="24"/>
              </w:rPr>
            </w:pPr>
          </w:p>
          <w:p w14:paraId="0E93E58E" w14:textId="77777777" w:rsidR="001A31EA" w:rsidRPr="001A31EA" w:rsidRDefault="001A31EA" w:rsidP="008471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---------- (1995) </w:t>
            </w:r>
            <w:r>
              <w:rPr>
                <w:rFonts w:ascii="Times New Roman" w:hAnsi="Times New Roman"/>
                <w:i/>
                <w:sz w:val="24"/>
              </w:rPr>
              <w:t>Plato’s Ethics</w:t>
            </w:r>
            <w:r>
              <w:rPr>
                <w:rFonts w:ascii="Times New Roman" w:hAnsi="Times New Roman"/>
                <w:sz w:val="24"/>
              </w:rPr>
              <w:t>. Oxford: Oxford University Press.</w:t>
            </w:r>
          </w:p>
          <w:p w14:paraId="5ADA3EDE" w14:textId="77777777" w:rsidR="00847156" w:rsidRDefault="00847156" w:rsidP="00847156">
            <w:pPr>
              <w:rPr>
                <w:rFonts w:ascii="Times New Roman" w:hAnsi="Times New Roman"/>
                <w:sz w:val="24"/>
              </w:rPr>
            </w:pPr>
          </w:p>
          <w:p w14:paraId="01AAB307" w14:textId="77777777" w:rsidR="00847156" w:rsidRDefault="00847156" w:rsidP="008471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Jones, R. and Sharma, R. (2017) “The Wandering Hero of the </w:t>
            </w:r>
            <w:r>
              <w:rPr>
                <w:rFonts w:ascii="Times New Roman" w:hAnsi="Times New Roman"/>
                <w:i/>
                <w:sz w:val="24"/>
              </w:rPr>
              <w:t>Hippias Minor</w:t>
            </w:r>
            <w:r>
              <w:rPr>
                <w:rFonts w:ascii="Times New Roman" w:hAnsi="Times New Roman"/>
                <w:sz w:val="24"/>
              </w:rPr>
              <w:t xml:space="preserve">: Socrates on Virtue and Craft,” </w:t>
            </w:r>
            <w:r>
              <w:rPr>
                <w:rFonts w:ascii="Times New Roman" w:hAnsi="Times New Roman"/>
                <w:i/>
                <w:sz w:val="24"/>
              </w:rPr>
              <w:t>Classical Philology</w:t>
            </w:r>
            <w:r>
              <w:rPr>
                <w:rFonts w:ascii="Times New Roman" w:hAnsi="Times New Roman"/>
                <w:sz w:val="24"/>
              </w:rPr>
              <w:t xml:space="preserve"> 112: 113-137.</w:t>
            </w:r>
          </w:p>
          <w:p w14:paraId="0CA2C7FF" w14:textId="77777777" w:rsidR="001A31EA" w:rsidRDefault="001A31EA" w:rsidP="00847156">
            <w:pPr>
              <w:rPr>
                <w:rFonts w:ascii="Times New Roman" w:hAnsi="Times New Roman"/>
                <w:sz w:val="24"/>
              </w:rPr>
            </w:pPr>
          </w:p>
          <w:p w14:paraId="5BDF3ACF" w14:textId="77777777" w:rsidR="001A31EA" w:rsidRDefault="001A31EA" w:rsidP="008471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A31EA">
              <w:rPr>
                <w:rFonts w:ascii="Times New Roman" w:hAnsi="Times New Roman"/>
                <w:sz w:val="24"/>
              </w:rPr>
              <w:t>Klosko</w:t>
            </w:r>
            <w:proofErr w:type="spellEnd"/>
            <w:r w:rsidRPr="001A31EA">
              <w:rPr>
                <w:rFonts w:ascii="Times New Roman" w:hAnsi="Times New Roman"/>
                <w:sz w:val="24"/>
              </w:rPr>
              <w:t xml:space="preserve">, G. (1987) “Socrates on Goods and Happiness,” </w:t>
            </w:r>
            <w:r w:rsidRPr="001A31EA">
              <w:rPr>
                <w:rFonts w:ascii="Times New Roman" w:hAnsi="Times New Roman"/>
                <w:i/>
                <w:sz w:val="24"/>
              </w:rPr>
              <w:t>History of Philosophy Quarterly</w:t>
            </w:r>
            <w:r w:rsidRPr="001A31EA">
              <w:rPr>
                <w:rFonts w:ascii="Times New Roman" w:hAnsi="Times New Roman"/>
                <w:sz w:val="24"/>
              </w:rPr>
              <w:t xml:space="preserve"> 4: 251-264.</w:t>
            </w:r>
          </w:p>
          <w:p w14:paraId="1DDFF860" w14:textId="77777777" w:rsidR="00847156" w:rsidRDefault="00847156" w:rsidP="00847156">
            <w:pPr>
              <w:rPr>
                <w:rFonts w:ascii="Times New Roman" w:hAnsi="Times New Roman"/>
                <w:sz w:val="24"/>
              </w:rPr>
            </w:pPr>
          </w:p>
          <w:p w14:paraId="3448359F" w14:textId="77777777" w:rsidR="00847156" w:rsidRDefault="00847156" w:rsidP="008471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47156">
              <w:rPr>
                <w:rFonts w:ascii="Times New Roman" w:hAnsi="Times New Roman"/>
                <w:sz w:val="24"/>
              </w:rPr>
              <w:t>Mikalson</w:t>
            </w:r>
            <w:proofErr w:type="spellEnd"/>
            <w:r w:rsidRPr="00847156">
              <w:rPr>
                <w:rFonts w:ascii="Times New Roman" w:hAnsi="Times New Roman"/>
                <w:sz w:val="24"/>
              </w:rPr>
              <w:t xml:space="preserve">, J. D. (2002) “The </w:t>
            </w:r>
            <w:r w:rsidRPr="00847156">
              <w:rPr>
                <w:rFonts w:ascii="Times New Roman" w:hAnsi="Times New Roman"/>
                <w:i/>
                <w:sz w:val="24"/>
              </w:rPr>
              <w:t xml:space="preserve">daimon </w:t>
            </w:r>
            <w:r w:rsidRPr="00847156">
              <w:rPr>
                <w:rFonts w:ascii="Times New Roman" w:hAnsi="Times New Roman"/>
                <w:sz w:val="24"/>
              </w:rPr>
              <w:t xml:space="preserve">of </w:t>
            </w:r>
            <w:r w:rsidRPr="00847156">
              <w:rPr>
                <w:rFonts w:ascii="Times New Roman" w:hAnsi="Times New Roman"/>
                <w:i/>
                <w:sz w:val="24"/>
              </w:rPr>
              <w:t>eudaimonia.</w:t>
            </w:r>
            <w:r w:rsidRPr="00847156">
              <w:rPr>
                <w:rFonts w:ascii="Times New Roman" w:hAnsi="Times New Roman"/>
                <w:sz w:val="24"/>
              </w:rPr>
              <w:t xml:space="preserve">” In J. F. Miller, C. Damon, and K. S. Myers, eds. Vertis in </w:t>
            </w:r>
            <w:proofErr w:type="spellStart"/>
            <w:r w:rsidRPr="00847156">
              <w:rPr>
                <w:rFonts w:ascii="Times New Roman" w:hAnsi="Times New Roman"/>
                <w:sz w:val="24"/>
              </w:rPr>
              <w:t>Usum</w:t>
            </w:r>
            <w:proofErr w:type="spellEnd"/>
            <w:r w:rsidRPr="00847156">
              <w:rPr>
                <w:rFonts w:ascii="Times New Roman" w:hAnsi="Times New Roman"/>
                <w:sz w:val="24"/>
              </w:rPr>
              <w:t xml:space="preserve">: </w:t>
            </w:r>
            <w:r w:rsidRPr="00847156">
              <w:rPr>
                <w:rFonts w:ascii="Times New Roman" w:hAnsi="Times New Roman"/>
                <w:i/>
                <w:sz w:val="24"/>
              </w:rPr>
              <w:t xml:space="preserve">Studies </w:t>
            </w:r>
            <w:proofErr w:type="gramStart"/>
            <w:r w:rsidRPr="00847156">
              <w:rPr>
                <w:rFonts w:ascii="Times New Roman" w:hAnsi="Times New Roman"/>
                <w:i/>
                <w:sz w:val="24"/>
              </w:rPr>
              <w:t>In</w:t>
            </w:r>
            <w:proofErr w:type="gramEnd"/>
            <w:r w:rsidRPr="00847156">
              <w:rPr>
                <w:rFonts w:ascii="Times New Roman" w:hAnsi="Times New Roman"/>
                <w:i/>
                <w:sz w:val="24"/>
              </w:rPr>
              <w:t xml:space="preserve"> Honor of Edward Courtney</w:t>
            </w:r>
            <w:r w:rsidRPr="00847156">
              <w:rPr>
                <w:rFonts w:ascii="Times New Roman" w:hAnsi="Times New Roman"/>
                <w:sz w:val="24"/>
              </w:rPr>
              <w:t>, 250-258. Munich and Leipzig: K. G. Saur Verlag.</w:t>
            </w:r>
          </w:p>
          <w:p w14:paraId="513DD7D2" w14:textId="77777777" w:rsidR="001A31EA" w:rsidRDefault="001A31EA" w:rsidP="00847156">
            <w:pPr>
              <w:rPr>
                <w:rFonts w:ascii="Times New Roman" w:hAnsi="Times New Roman"/>
                <w:sz w:val="24"/>
              </w:rPr>
            </w:pPr>
          </w:p>
          <w:p w14:paraId="4C8D82EF" w14:textId="77777777" w:rsidR="001A31EA" w:rsidRPr="00847156" w:rsidRDefault="001A31EA" w:rsidP="0084715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A31EA">
              <w:rPr>
                <w:rFonts w:ascii="Times New Roman" w:hAnsi="Times New Roman"/>
                <w:sz w:val="24"/>
              </w:rPr>
              <w:t>Reshotko</w:t>
            </w:r>
            <w:proofErr w:type="spellEnd"/>
            <w:r w:rsidRPr="001A31EA">
              <w:rPr>
                <w:rFonts w:ascii="Times New Roman" w:hAnsi="Times New Roman"/>
                <w:sz w:val="24"/>
              </w:rPr>
              <w:t xml:space="preserve">, N. (2009) “Socrates and Plato on </w:t>
            </w:r>
            <w:r w:rsidRPr="001A31EA">
              <w:rPr>
                <w:rFonts w:ascii="Times New Roman" w:hAnsi="Times New Roman"/>
                <w:i/>
                <w:sz w:val="24"/>
              </w:rPr>
              <w:t>Sophia</w:t>
            </w:r>
            <w:r w:rsidRPr="001A31EA">
              <w:rPr>
                <w:rFonts w:ascii="Times New Roman" w:hAnsi="Times New Roman"/>
                <w:sz w:val="24"/>
              </w:rPr>
              <w:t xml:space="preserve">, </w:t>
            </w:r>
            <w:r w:rsidRPr="001A31EA">
              <w:rPr>
                <w:rFonts w:ascii="Times New Roman" w:hAnsi="Times New Roman"/>
                <w:i/>
                <w:sz w:val="24"/>
              </w:rPr>
              <w:t>Eudaimonia</w:t>
            </w:r>
            <w:r w:rsidRPr="001A31EA">
              <w:rPr>
                <w:rFonts w:ascii="Times New Roman" w:hAnsi="Times New Roman"/>
                <w:sz w:val="24"/>
              </w:rPr>
              <w:t xml:space="preserve"> and their Facsimiles,” </w:t>
            </w:r>
            <w:r w:rsidRPr="001A31EA">
              <w:rPr>
                <w:rFonts w:ascii="Times New Roman" w:hAnsi="Times New Roman"/>
                <w:i/>
                <w:sz w:val="24"/>
              </w:rPr>
              <w:t>History of Philosophy Quarterly</w:t>
            </w:r>
            <w:r w:rsidRPr="001A31EA">
              <w:rPr>
                <w:rFonts w:ascii="Times New Roman" w:hAnsi="Times New Roman"/>
                <w:sz w:val="24"/>
              </w:rPr>
              <w:t xml:space="preserve"> 26: 1-19.</w:t>
            </w:r>
          </w:p>
          <w:p w14:paraId="6BE4D706" w14:textId="77777777" w:rsidR="00847156" w:rsidRDefault="00847156" w:rsidP="00847156">
            <w:pPr>
              <w:rPr>
                <w:rFonts w:ascii="Times New Roman" w:hAnsi="Times New Roman"/>
                <w:sz w:val="24"/>
              </w:rPr>
            </w:pPr>
          </w:p>
          <w:p w14:paraId="4519F6F8" w14:textId="77777777" w:rsidR="00847156" w:rsidRPr="00847156" w:rsidRDefault="00847156" w:rsidP="00847156">
            <w:pPr>
              <w:suppressAutoHyphens/>
              <w:rPr>
                <w:rFonts w:ascii="Times New Roman" w:eastAsia="Arial Unicode MS" w:hAnsi="Times New Roman"/>
                <w:kern w:val="1"/>
                <w:sz w:val="24"/>
              </w:rPr>
            </w:pPr>
            <w:r w:rsidRPr="00847156">
              <w:rPr>
                <w:rFonts w:ascii="Times New Roman" w:eastAsia="Arial Unicode MS" w:hAnsi="Times New Roman"/>
                <w:kern w:val="1"/>
                <w:sz w:val="24"/>
              </w:rPr>
              <w:t xml:space="preserve">Rowe, C. (2007) </w:t>
            </w:r>
            <w:r w:rsidRPr="00847156">
              <w:rPr>
                <w:rFonts w:ascii="Times New Roman" w:eastAsia="Arial Unicode MS" w:hAnsi="Times New Roman"/>
                <w:i/>
                <w:kern w:val="1"/>
                <w:sz w:val="24"/>
              </w:rPr>
              <w:t>Plato and the Art of Philosophical Writing.</w:t>
            </w:r>
            <w:r w:rsidRPr="00847156">
              <w:rPr>
                <w:rFonts w:ascii="Times New Roman" w:eastAsia="Arial Unicode MS" w:hAnsi="Times New Roman"/>
                <w:kern w:val="1"/>
                <w:sz w:val="24"/>
              </w:rPr>
              <w:t xml:space="preserve"> Cambridge and New York: Cambridge University Press.</w:t>
            </w:r>
          </w:p>
          <w:p w14:paraId="10245041" w14:textId="77777777" w:rsidR="00847156" w:rsidRDefault="00847156" w:rsidP="00847156">
            <w:pPr>
              <w:rPr>
                <w:rFonts w:ascii="Times New Roman" w:hAnsi="Times New Roman"/>
                <w:sz w:val="24"/>
              </w:rPr>
            </w:pPr>
          </w:p>
          <w:p w14:paraId="5C277E04" w14:textId="77777777" w:rsidR="001A31EA" w:rsidRPr="0010703B" w:rsidRDefault="001A31EA" w:rsidP="00847156">
            <w:pPr>
              <w:rPr>
                <w:rFonts w:ascii="Times New Roman" w:hAnsi="Times New Roman"/>
                <w:sz w:val="24"/>
              </w:rPr>
            </w:pPr>
            <w:r w:rsidRPr="001A31EA">
              <w:rPr>
                <w:rFonts w:ascii="Times New Roman" w:hAnsi="Times New Roman"/>
                <w:sz w:val="24"/>
              </w:rPr>
              <w:t xml:space="preserve">Rudebusch, G. (1999) </w:t>
            </w:r>
            <w:r w:rsidRPr="001A31EA">
              <w:rPr>
                <w:rFonts w:ascii="Times New Roman" w:hAnsi="Times New Roman"/>
                <w:i/>
                <w:sz w:val="24"/>
              </w:rPr>
              <w:t>Socrates, Pleasure, and Value</w:t>
            </w:r>
            <w:r w:rsidRPr="001A31EA">
              <w:rPr>
                <w:rFonts w:ascii="Times New Roman" w:hAnsi="Times New Roman"/>
                <w:sz w:val="24"/>
              </w:rPr>
              <w:t>. Oxford.</w:t>
            </w:r>
          </w:p>
          <w:p w14:paraId="721A4654" w14:textId="77777777" w:rsidR="0087399C" w:rsidRDefault="0087399C" w:rsidP="00B07B0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08ED6A" w14:textId="77777777" w:rsidR="00847156" w:rsidRDefault="00847156" w:rsidP="00847156">
            <w:pPr>
              <w:suppressAutoHyphens/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</w:pPr>
            <w:r w:rsidRPr="00847156"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  <w:t xml:space="preserve">Santas, G. X. (1979) </w:t>
            </w:r>
            <w:r w:rsidRPr="00847156">
              <w:rPr>
                <w:rFonts w:ascii="Times New Roman" w:eastAsia="Arial Unicode MS" w:hAnsi="Times New Roman"/>
                <w:i/>
                <w:iCs/>
                <w:color w:val="000000"/>
                <w:kern w:val="1"/>
                <w:sz w:val="24"/>
              </w:rPr>
              <w:t>Socrates: Philosophy in Plato's Early Dialogues</w:t>
            </w:r>
            <w:r w:rsidRPr="00847156"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  <w:t>. London, Boston and Henley: Routledge and Kegan Paul.</w:t>
            </w:r>
          </w:p>
          <w:p w14:paraId="7288E0BC" w14:textId="77777777" w:rsidR="001A31EA" w:rsidRDefault="001A31EA" w:rsidP="00847156">
            <w:pPr>
              <w:suppressAutoHyphens/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</w:pPr>
          </w:p>
          <w:p w14:paraId="0822756D" w14:textId="77777777" w:rsidR="001A31EA" w:rsidRDefault="001A31EA" w:rsidP="00847156">
            <w:pPr>
              <w:suppressAutoHyphens/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  <w:t xml:space="preserve">Sermamoglou-Soulmaidi, G. (2014) </w:t>
            </w:r>
            <w:r>
              <w:rPr>
                <w:rFonts w:ascii="Times New Roman" w:eastAsia="Arial Unicode MS" w:hAnsi="Times New Roman"/>
                <w:i/>
                <w:color w:val="000000"/>
                <w:kern w:val="1"/>
                <w:sz w:val="24"/>
              </w:rPr>
              <w:t xml:space="preserve">Playful Philosophy and Serious Sophistry: A Reading of Plato’s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  <w:t>Euthydemus. Berlin: De Gruyter.</w:t>
            </w:r>
          </w:p>
          <w:p w14:paraId="2CFF8415" w14:textId="77777777" w:rsidR="001A31EA" w:rsidRDefault="001A31EA" w:rsidP="00847156">
            <w:pPr>
              <w:suppressAutoHyphens/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</w:pPr>
          </w:p>
          <w:p w14:paraId="617AD6EB" w14:textId="77777777" w:rsidR="001A31EA" w:rsidRPr="001A31EA" w:rsidRDefault="001A31EA" w:rsidP="00847156">
            <w:pPr>
              <w:suppressAutoHyphens/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  <w:t xml:space="preserve">---------- (2023) “The Nature of Courage in Plato’s </w:t>
            </w:r>
            <w:r>
              <w:rPr>
                <w:rFonts w:ascii="Times New Roman" w:eastAsia="Arial Unicode MS" w:hAnsi="Times New Roman"/>
                <w:i/>
                <w:color w:val="000000"/>
                <w:kern w:val="1"/>
                <w:sz w:val="24"/>
              </w:rPr>
              <w:t>Laches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  <w:t xml:space="preserve">,” </w:t>
            </w:r>
            <w:r>
              <w:rPr>
                <w:rFonts w:ascii="Times New Roman" w:eastAsia="Arial Unicode MS" w:hAnsi="Times New Roman"/>
                <w:i/>
                <w:color w:val="000000"/>
                <w:kern w:val="1"/>
                <w:sz w:val="24"/>
              </w:rPr>
              <w:t>Apeiron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  <w:t xml:space="preserve"> 56: 187-210.</w:t>
            </w:r>
          </w:p>
          <w:p w14:paraId="4093E58A" w14:textId="77777777" w:rsidR="00847156" w:rsidRPr="00847156" w:rsidRDefault="00847156" w:rsidP="00847156">
            <w:pPr>
              <w:suppressAutoHyphens/>
              <w:rPr>
                <w:rFonts w:ascii="Times New Roman" w:eastAsia="Arial Unicode MS" w:hAnsi="Times New Roman"/>
                <w:color w:val="000000"/>
                <w:kern w:val="1"/>
                <w:sz w:val="24"/>
              </w:rPr>
            </w:pPr>
          </w:p>
          <w:p w14:paraId="04D9B5C1" w14:textId="77777777" w:rsidR="00847156" w:rsidRPr="00847156" w:rsidRDefault="00847156" w:rsidP="00847156">
            <w:pPr>
              <w:suppressAutoHyphens/>
              <w:rPr>
                <w:rFonts w:ascii="Times New Roman" w:eastAsia="Arial Unicode MS" w:hAnsi="Times New Roman"/>
                <w:kern w:val="1"/>
                <w:sz w:val="24"/>
              </w:rPr>
            </w:pPr>
            <w:r w:rsidRPr="00847156">
              <w:rPr>
                <w:rFonts w:ascii="Times New Roman" w:eastAsia="Arial Unicode MS" w:hAnsi="Times New Roman"/>
                <w:kern w:val="1"/>
                <w:sz w:val="24"/>
              </w:rPr>
              <w:t xml:space="preserve">Stauffer, D. (2006) </w:t>
            </w:r>
            <w:r w:rsidRPr="00847156">
              <w:rPr>
                <w:rFonts w:ascii="Times New Roman" w:eastAsia="Arial Unicode MS" w:hAnsi="Times New Roman"/>
                <w:i/>
                <w:kern w:val="1"/>
                <w:sz w:val="24"/>
              </w:rPr>
              <w:t xml:space="preserve">The Unity of Plato’s </w:t>
            </w:r>
            <w:r w:rsidRPr="00847156">
              <w:rPr>
                <w:rFonts w:ascii="Times New Roman" w:eastAsia="Arial Unicode MS" w:hAnsi="Times New Roman"/>
                <w:kern w:val="1"/>
                <w:sz w:val="24"/>
              </w:rPr>
              <w:t xml:space="preserve">Gorgias: </w:t>
            </w:r>
            <w:r w:rsidRPr="00847156">
              <w:rPr>
                <w:rFonts w:ascii="Times New Roman" w:eastAsia="Arial Unicode MS" w:hAnsi="Times New Roman"/>
                <w:i/>
                <w:kern w:val="1"/>
                <w:sz w:val="24"/>
              </w:rPr>
              <w:t xml:space="preserve">Rhetoric, Justice, and the Philosophic Life. </w:t>
            </w:r>
            <w:r w:rsidRPr="00847156">
              <w:rPr>
                <w:rFonts w:ascii="Times New Roman" w:eastAsia="Arial Unicode MS" w:hAnsi="Times New Roman"/>
                <w:kern w:val="1"/>
                <w:sz w:val="24"/>
              </w:rPr>
              <w:t>Cambridge and New York: Cambridge University Press.</w:t>
            </w:r>
          </w:p>
          <w:p w14:paraId="2F1E5FB1" w14:textId="77777777" w:rsidR="00847156" w:rsidRPr="00BC242A" w:rsidRDefault="00847156" w:rsidP="00B07B0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49D414" w14:textId="77777777" w:rsidR="00B07B0C" w:rsidRPr="00BC242A" w:rsidRDefault="00B07B0C" w:rsidP="00B07B0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59E7BF" w14:textId="77777777" w:rsidR="00B07B0C" w:rsidRPr="00BC242A" w:rsidRDefault="00B07B0C" w:rsidP="00B07B0C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07D3D28D" w14:textId="77777777" w:rsidR="000F4FD4" w:rsidRPr="009B32C2" w:rsidRDefault="000F4FD4" w:rsidP="000F4FD4">
      <w:pPr>
        <w:rPr>
          <w:rFonts w:ascii="Cambria" w:hAnsi="Cambria"/>
          <w:b/>
          <w:bCs/>
          <w:sz w:val="28"/>
        </w:rPr>
      </w:pPr>
    </w:p>
    <w:sectPr w:rsidR="000F4FD4" w:rsidRPr="009B32C2" w:rsidSect="00FE64B5">
      <w:head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3A7F4" w14:textId="77777777" w:rsidR="000129C4" w:rsidRDefault="000129C4">
      <w:r>
        <w:separator/>
      </w:r>
    </w:p>
  </w:endnote>
  <w:endnote w:type="continuationSeparator" w:id="0">
    <w:p w14:paraId="1114851C" w14:textId="77777777" w:rsidR="000129C4" w:rsidRDefault="0001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3602532"/>
      <w:docPartObj>
        <w:docPartGallery w:val="Page Numbers (Bottom of Page)"/>
        <w:docPartUnique/>
      </w:docPartObj>
    </w:sdtPr>
    <w:sdtContent>
      <w:p w14:paraId="1BFFFEF3" w14:textId="4ED106C4" w:rsidR="00C96AEF" w:rsidRDefault="00C96A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17F92" w14:textId="77777777" w:rsidR="00C96AEF" w:rsidRDefault="00C96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DEB1" w14:textId="7C9274B6" w:rsidR="00C96AEF" w:rsidRDefault="00C96AEF" w:rsidP="00C96AEF">
    <w:pPr>
      <w:pStyle w:val="Footer"/>
      <w:jc w:val="center"/>
    </w:pPr>
    <w:r>
      <w:rPr>
        <w:noProof/>
      </w:rPr>
      <w:drawing>
        <wp:inline distT="0" distB="0" distL="0" distR="0" wp14:anchorId="199461DB" wp14:editId="7ABF3982">
          <wp:extent cx="4502150" cy="679599"/>
          <wp:effectExtent l="0" t="0" r="0" b="6350"/>
          <wp:docPr id="176324588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45887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3221" cy="68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BFC7" w14:textId="77777777" w:rsidR="000129C4" w:rsidRDefault="000129C4">
      <w:r>
        <w:separator/>
      </w:r>
    </w:p>
  </w:footnote>
  <w:footnote w:type="continuationSeparator" w:id="0">
    <w:p w14:paraId="50B1DCA5" w14:textId="77777777" w:rsidR="000129C4" w:rsidRDefault="0001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750A" w14:textId="77777777" w:rsidR="007673F3" w:rsidRDefault="007B19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73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C9E4BD" w14:textId="77777777" w:rsidR="007673F3" w:rsidRDefault="007673F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DD4"/>
    <w:multiLevelType w:val="hybridMultilevel"/>
    <w:tmpl w:val="70945A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47F46"/>
    <w:multiLevelType w:val="hybridMultilevel"/>
    <w:tmpl w:val="2C146F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D4CD9"/>
    <w:multiLevelType w:val="hybridMultilevel"/>
    <w:tmpl w:val="CD443CF6"/>
    <w:lvl w:ilvl="0" w:tplc="9048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817"/>
    <w:multiLevelType w:val="multilevel"/>
    <w:tmpl w:val="AC1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F639C2"/>
    <w:multiLevelType w:val="hybridMultilevel"/>
    <w:tmpl w:val="580A09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1298"/>
    <w:multiLevelType w:val="hybridMultilevel"/>
    <w:tmpl w:val="2C6A2CE8"/>
    <w:lvl w:ilvl="0" w:tplc="5590C6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E4817"/>
    <w:multiLevelType w:val="hybridMultilevel"/>
    <w:tmpl w:val="EC8C3BFE"/>
    <w:lvl w:ilvl="0" w:tplc="D7602B3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B6D4E"/>
    <w:multiLevelType w:val="hybridMultilevel"/>
    <w:tmpl w:val="4F0861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D07537"/>
    <w:multiLevelType w:val="hybridMultilevel"/>
    <w:tmpl w:val="0C848CB8"/>
    <w:lvl w:ilvl="0" w:tplc="9048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117A3D"/>
    <w:multiLevelType w:val="hybridMultilevel"/>
    <w:tmpl w:val="539C1F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881209283">
    <w:abstractNumId w:val="2"/>
  </w:num>
  <w:num w:numId="2" w16cid:durableId="1443455599">
    <w:abstractNumId w:val="11"/>
  </w:num>
  <w:num w:numId="3" w16cid:durableId="348021787">
    <w:abstractNumId w:val="7"/>
  </w:num>
  <w:num w:numId="4" w16cid:durableId="1038699392">
    <w:abstractNumId w:val="4"/>
  </w:num>
  <w:num w:numId="5" w16cid:durableId="1247225299">
    <w:abstractNumId w:val="8"/>
  </w:num>
  <w:num w:numId="6" w16cid:durableId="1134367927">
    <w:abstractNumId w:val="6"/>
  </w:num>
  <w:num w:numId="7" w16cid:durableId="799302361">
    <w:abstractNumId w:val="0"/>
  </w:num>
  <w:num w:numId="8" w16cid:durableId="916130727">
    <w:abstractNumId w:val="9"/>
  </w:num>
  <w:num w:numId="9" w16cid:durableId="1202665920">
    <w:abstractNumId w:val="3"/>
  </w:num>
  <w:num w:numId="10" w16cid:durableId="535431750">
    <w:abstractNumId w:val="1"/>
  </w:num>
  <w:num w:numId="11" w16cid:durableId="988438903">
    <w:abstractNumId w:val="10"/>
  </w:num>
  <w:num w:numId="12" w16cid:durableId="158016546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29C4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45AA2"/>
    <w:rsid w:val="0005007E"/>
    <w:rsid w:val="00052058"/>
    <w:rsid w:val="0005657A"/>
    <w:rsid w:val="00056B96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75DBD"/>
    <w:rsid w:val="00077CAD"/>
    <w:rsid w:val="00081F0F"/>
    <w:rsid w:val="000829CE"/>
    <w:rsid w:val="0008519E"/>
    <w:rsid w:val="00090252"/>
    <w:rsid w:val="00090277"/>
    <w:rsid w:val="00091F9F"/>
    <w:rsid w:val="00092A6D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3A17"/>
    <w:rsid w:val="000C4334"/>
    <w:rsid w:val="000C4E47"/>
    <w:rsid w:val="000D066F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2606"/>
    <w:rsid w:val="000E3FF4"/>
    <w:rsid w:val="000E42EA"/>
    <w:rsid w:val="000E6CD4"/>
    <w:rsid w:val="000F4F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20F6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708D"/>
    <w:rsid w:val="0014716A"/>
    <w:rsid w:val="00151016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1C52"/>
    <w:rsid w:val="001A31EA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1269"/>
    <w:rsid w:val="001C2D16"/>
    <w:rsid w:val="001C37B5"/>
    <w:rsid w:val="001C45DD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5B36"/>
    <w:rsid w:val="002074B4"/>
    <w:rsid w:val="002077B9"/>
    <w:rsid w:val="00207E32"/>
    <w:rsid w:val="00212148"/>
    <w:rsid w:val="002130EC"/>
    <w:rsid w:val="00213626"/>
    <w:rsid w:val="00214401"/>
    <w:rsid w:val="00214E59"/>
    <w:rsid w:val="00216F25"/>
    <w:rsid w:val="00217494"/>
    <w:rsid w:val="0022013C"/>
    <w:rsid w:val="00220BCB"/>
    <w:rsid w:val="00222F35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2D46"/>
    <w:rsid w:val="00265F0D"/>
    <w:rsid w:val="002706A7"/>
    <w:rsid w:val="00271BEE"/>
    <w:rsid w:val="00271F7D"/>
    <w:rsid w:val="00272884"/>
    <w:rsid w:val="0027626F"/>
    <w:rsid w:val="00276F93"/>
    <w:rsid w:val="00277781"/>
    <w:rsid w:val="00280486"/>
    <w:rsid w:val="00280BFE"/>
    <w:rsid w:val="0028166F"/>
    <w:rsid w:val="00282FAB"/>
    <w:rsid w:val="00285D8B"/>
    <w:rsid w:val="00286A85"/>
    <w:rsid w:val="002874EB"/>
    <w:rsid w:val="0029057A"/>
    <w:rsid w:val="00296F0C"/>
    <w:rsid w:val="002A03B0"/>
    <w:rsid w:val="002A157B"/>
    <w:rsid w:val="002A211F"/>
    <w:rsid w:val="002A44CF"/>
    <w:rsid w:val="002A5183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3C95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5D37"/>
    <w:rsid w:val="00307B48"/>
    <w:rsid w:val="00310E41"/>
    <w:rsid w:val="00311DF4"/>
    <w:rsid w:val="00312560"/>
    <w:rsid w:val="0031365F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51AC"/>
    <w:rsid w:val="003379E6"/>
    <w:rsid w:val="003403BB"/>
    <w:rsid w:val="0034072B"/>
    <w:rsid w:val="00341341"/>
    <w:rsid w:val="003439C9"/>
    <w:rsid w:val="003445BF"/>
    <w:rsid w:val="00344ABE"/>
    <w:rsid w:val="003457C6"/>
    <w:rsid w:val="003502E3"/>
    <w:rsid w:val="00350F13"/>
    <w:rsid w:val="00352D0C"/>
    <w:rsid w:val="00353C50"/>
    <w:rsid w:val="00354399"/>
    <w:rsid w:val="00355C87"/>
    <w:rsid w:val="003561DF"/>
    <w:rsid w:val="0035685C"/>
    <w:rsid w:val="003575C7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395E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1F5D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2908"/>
    <w:rsid w:val="003F7708"/>
    <w:rsid w:val="003F7EBC"/>
    <w:rsid w:val="003F7ED6"/>
    <w:rsid w:val="00401CF9"/>
    <w:rsid w:val="004038E8"/>
    <w:rsid w:val="00404C74"/>
    <w:rsid w:val="00410251"/>
    <w:rsid w:val="0041056C"/>
    <w:rsid w:val="004107EF"/>
    <w:rsid w:val="00410B27"/>
    <w:rsid w:val="00412F02"/>
    <w:rsid w:val="00413423"/>
    <w:rsid w:val="0041592E"/>
    <w:rsid w:val="00417268"/>
    <w:rsid w:val="00420A16"/>
    <w:rsid w:val="00420B9D"/>
    <w:rsid w:val="004216E3"/>
    <w:rsid w:val="0042290A"/>
    <w:rsid w:val="0042341E"/>
    <w:rsid w:val="004240A2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2C0F"/>
    <w:rsid w:val="00454FFF"/>
    <w:rsid w:val="00455CA0"/>
    <w:rsid w:val="00456043"/>
    <w:rsid w:val="0045643E"/>
    <w:rsid w:val="00457321"/>
    <w:rsid w:val="00457F58"/>
    <w:rsid w:val="00460312"/>
    <w:rsid w:val="00460C82"/>
    <w:rsid w:val="00460EF8"/>
    <w:rsid w:val="00462380"/>
    <w:rsid w:val="004641A2"/>
    <w:rsid w:val="004655D5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86276"/>
    <w:rsid w:val="00486306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07B4"/>
    <w:rsid w:val="004A1AD6"/>
    <w:rsid w:val="004A2870"/>
    <w:rsid w:val="004A2F47"/>
    <w:rsid w:val="004A5675"/>
    <w:rsid w:val="004A5FCA"/>
    <w:rsid w:val="004A7888"/>
    <w:rsid w:val="004B22B4"/>
    <w:rsid w:val="004B2B07"/>
    <w:rsid w:val="004B2FD4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1BE5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E7E0A"/>
    <w:rsid w:val="004F14DF"/>
    <w:rsid w:val="004F2431"/>
    <w:rsid w:val="004F3901"/>
    <w:rsid w:val="004F41D3"/>
    <w:rsid w:val="004F6858"/>
    <w:rsid w:val="004F6C27"/>
    <w:rsid w:val="004F6D2C"/>
    <w:rsid w:val="004F7794"/>
    <w:rsid w:val="00502733"/>
    <w:rsid w:val="00502E98"/>
    <w:rsid w:val="00504010"/>
    <w:rsid w:val="0050455A"/>
    <w:rsid w:val="00505DA5"/>
    <w:rsid w:val="00507E7F"/>
    <w:rsid w:val="00510B88"/>
    <w:rsid w:val="00510FA5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A87"/>
    <w:rsid w:val="005653AC"/>
    <w:rsid w:val="005655E4"/>
    <w:rsid w:val="00565796"/>
    <w:rsid w:val="00566152"/>
    <w:rsid w:val="005667DA"/>
    <w:rsid w:val="005712F1"/>
    <w:rsid w:val="0057137E"/>
    <w:rsid w:val="0057266B"/>
    <w:rsid w:val="00573222"/>
    <w:rsid w:val="00575CC1"/>
    <w:rsid w:val="00576F02"/>
    <w:rsid w:val="005773B3"/>
    <w:rsid w:val="00580EB3"/>
    <w:rsid w:val="005820F8"/>
    <w:rsid w:val="005829DE"/>
    <w:rsid w:val="005841A6"/>
    <w:rsid w:val="0059066F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47E6"/>
    <w:rsid w:val="005C51A0"/>
    <w:rsid w:val="005C6084"/>
    <w:rsid w:val="005D135D"/>
    <w:rsid w:val="005D1A9E"/>
    <w:rsid w:val="005D3260"/>
    <w:rsid w:val="005D3BD0"/>
    <w:rsid w:val="005D64AF"/>
    <w:rsid w:val="005E096A"/>
    <w:rsid w:val="005E13E9"/>
    <w:rsid w:val="005E3207"/>
    <w:rsid w:val="005E3C04"/>
    <w:rsid w:val="005E3E18"/>
    <w:rsid w:val="005E4CDD"/>
    <w:rsid w:val="005F1D7B"/>
    <w:rsid w:val="00600396"/>
    <w:rsid w:val="0060443B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344E"/>
    <w:rsid w:val="00630A21"/>
    <w:rsid w:val="006324B4"/>
    <w:rsid w:val="00632727"/>
    <w:rsid w:val="006335B2"/>
    <w:rsid w:val="006348E5"/>
    <w:rsid w:val="0063491B"/>
    <w:rsid w:val="00640CD4"/>
    <w:rsid w:val="00642664"/>
    <w:rsid w:val="00642F3C"/>
    <w:rsid w:val="006464BC"/>
    <w:rsid w:val="00646DC9"/>
    <w:rsid w:val="00650193"/>
    <w:rsid w:val="0065095C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7CAA"/>
    <w:rsid w:val="00667ED7"/>
    <w:rsid w:val="006702EA"/>
    <w:rsid w:val="00673E26"/>
    <w:rsid w:val="006742F4"/>
    <w:rsid w:val="00677A06"/>
    <w:rsid w:val="00680A53"/>
    <w:rsid w:val="006829DC"/>
    <w:rsid w:val="00683AB2"/>
    <w:rsid w:val="00683E80"/>
    <w:rsid w:val="00684858"/>
    <w:rsid w:val="0068638A"/>
    <w:rsid w:val="00686460"/>
    <w:rsid w:val="00686C41"/>
    <w:rsid w:val="00686E99"/>
    <w:rsid w:val="0069451A"/>
    <w:rsid w:val="0069485E"/>
    <w:rsid w:val="006A0172"/>
    <w:rsid w:val="006A0B3E"/>
    <w:rsid w:val="006A1698"/>
    <w:rsid w:val="006A6323"/>
    <w:rsid w:val="006A7193"/>
    <w:rsid w:val="006B0C77"/>
    <w:rsid w:val="006B1A7F"/>
    <w:rsid w:val="006B36B1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237A"/>
    <w:rsid w:val="006F6674"/>
    <w:rsid w:val="006F753E"/>
    <w:rsid w:val="0070027C"/>
    <w:rsid w:val="00700BE6"/>
    <w:rsid w:val="00701396"/>
    <w:rsid w:val="007025EC"/>
    <w:rsid w:val="00702B05"/>
    <w:rsid w:val="00704DB8"/>
    <w:rsid w:val="0070599F"/>
    <w:rsid w:val="00705AAD"/>
    <w:rsid w:val="0070630B"/>
    <w:rsid w:val="00706DDA"/>
    <w:rsid w:val="00707387"/>
    <w:rsid w:val="007073D0"/>
    <w:rsid w:val="0071030B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331E"/>
    <w:rsid w:val="00766566"/>
    <w:rsid w:val="007673F3"/>
    <w:rsid w:val="007723E7"/>
    <w:rsid w:val="00772F92"/>
    <w:rsid w:val="00773D06"/>
    <w:rsid w:val="00773F6D"/>
    <w:rsid w:val="007747BE"/>
    <w:rsid w:val="00774DCF"/>
    <w:rsid w:val="00775112"/>
    <w:rsid w:val="00775E88"/>
    <w:rsid w:val="007761A2"/>
    <w:rsid w:val="00776DE6"/>
    <w:rsid w:val="0077774D"/>
    <w:rsid w:val="00780F21"/>
    <w:rsid w:val="00780FBF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9EE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7F5FDC"/>
    <w:rsid w:val="0080065F"/>
    <w:rsid w:val="008023B4"/>
    <w:rsid w:val="00803835"/>
    <w:rsid w:val="00804786"/>
    <w:rsid w:val="00804ED0"/>
    <w:rsid w:val="00805B3C"/>
    <w:rsid w:val="00812870"/>
    <w:rsid w:val="0081541E"/>
    <w:rsid w:val="00816AC1"/>
    <w:rsid w:val="00817494"/>
    <w:rsid w:val="00821D05"/>
    <w:rsid w:val="00823CF1"/>
    <w:rsid w:val="00825F04"/>
    <w:rsid w:val="0082674F"/>
    <w:rsid w:val="00826DBC"/>
    <w:rsid w:val="008310CB"/>
    <w:rsid w:val="008319C4"/>
    <w:rsid w:val="00831CE8"/>
    <w:rsid w:val="0083724C"/>
    <w:rsid w:val="00837289"/>
    <w:rsid w:val="00837BDE"/>
    <w:rsid w:val="008400D0"/>
    <w:rsid w:val="008441AC"/>
    <w:rsid w:val="008452A3"/>
    <w:rsid w:val="008467A5"/>
    <w:rsid w:val="00846C71"/>
    <w:rsid w:val="00847156"/>
    <w:rsid w:val="0085019A"/>
    <w:rsid w:val="00855E56"/>
    <w:rsid w:val="008601ED"/>
    <w:rsid w:val="00861DE7"/>
    <w:rsid w:val="00862319"/>
    <w:rsid w:val="00864C7D"/>
    <w:rsid w:val="00866108"/>
    <w:rsid w:val="00866760"/>
    <w:rsid w:val="00866812"/>
    <w:rsid w:val="00866FF7"/>
    <w:rsid w:val="00867295"/>
    <w:rsid w:val="008714FF"/>
    <w:rsid w:val="00872447"/>
    <w:rsid w:val="00872C4B"/>
    <w:rsid w:val="0087399C"/>
    <w:rsid w:val="00875E4E"/>
    <w:rsid w:val="00876C1F"/>
    <w:rsid w:val="00877B0F"/>
    <w:rsid w:val="008826A3"/>
    <w:rsid w:val="008840FF"/>
    <w:rsid w:val="00884410"/>
    <w:rsid w:val="00884FB6"/>
    <w:rsid w:val="0088607D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1DB3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3AF1"/>
    <w:rsid w:val="008E5746"/>
    <w:rsid w:val="008F1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1579"/>
    <w:rsid w:val="0092212A"/>
    <w:rsid w:val="0092252B"/>
    <w:rsid w:val="00922677"/>
    <w:rsid w:val="009262FA"/>
    <w:rsid w:val="00926AEC"/>
    <w:rsid w:val="00927BCD"/>
    <w:rsid w:val="00927F42"/>
    <w:rsid w:val="009326C0"/>
    <w:rsid w:val="00936764"/>
    <w:rsid w:val="00936B3E"/>
    <w:rsid w:val="00937B68"/>
    <w:rsid w:val="00940890"/>
    <w:rsid w:val="00941C82"/>
    <w:rsid w:val="00942E52"/>
    <w:rsid w:val="00945FB5"/>
    <w:rsid w:val="00946979"/>
    <w:rsid w:val="00947099"/>
    <w:rsid w:val="00947CDE"/>
    <w:rsid w:val="009501E8"/>
    <w:rsid w:val="0095228F"/>
    <w:rsid w:val="009522FE"/>
    <w:rsid w:val="00952678"/>
    <w:rsid w:val="00955CCB"/>
    <w:rsid w:val="00956FDE"/>
    <w:rsid w:val="009637D4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2D53"/>
    <w:rsid w:val="009737A8"/>
    <w:rsid w:val="009754DE"/>
    <w:rsid w:val="009800BC"/>
    <w:rsid w:val="0098023E"/>
    <w:rsid w:val="00982D22"/>
    <w:rsid w:val="009830A7"/>
    <w:rsid w:val="00983485"/>
    <w:rsid w:val="00983C02"/>
    <w:rsid w:val="0098575F"/>
    <w:rsid w:val="00985BA3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32C2"/>
    <w:rsid w:val="009B55CB"/>
    <w:rsid w:val="009B5646"/>
    <w:rsid w:val="009B638F"/>
    <w:rsid w:val="009B6E50"/>
    <w:rsid w:val="009C028C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3A41"/>
    <w:rsid w:val="009E5962"/>
    <w:rsid w:val="009E5F66"/>
    <w:rsid w:val="009E5FB9"/>
    <w:rsid w:val="009E7779"/>
    <w:rsid w:val="009E7B07"/>
    <w:rsid w:val="009F6FEA"/>
    <w:rsid w:val="00A00113"/>
    <w:rsid w:val="00A00EB0"/>
    <w:rsid w:val="00A02135"/>
    <w:rsid w:val="00A03499"/>
    <w:rsid w:val="00A03BB9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5ED0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47B1A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3991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8723B"/>
    <w:rsid w:val="00A90498"/>
    <w:rsid w:val="00AA156C"/>
    <w:rsid w:val="00AA2240"/>
    <w:rsid w:val="00AA2ACD"/>
    <w:rsid w:val="00AA6FD8"/>
    <w:rsid w:val="00AB03BE"/>
    <w:rsid w:val="00AB18AC"/>
    <w:rsid w:val="00AB3B48"/>
    <w:rsid w:val="00AB5159"/>
    <w:rsid w:val="00AB608F"/>
    <w:rsid w:val="00AB7A54"/>
    <w:rsid w:val="00AC0EE4"/>
    <w:rsid w:val="00AC104D"/>
    <w:rsid w:val="00AC1B1B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050B"/>
    <w:rsid w:val="00B01560"/>
    <w:rsid w:val="00B03988"/>
    <w:rsid w:val="00B03B1E"/>
    <w:rsid w:val="00B04153"/>
    <w:rsid w:val="00B07B0C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4D8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EFA"/>
    <w:rsid w:val="00B86510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C0EA8"/>
    <w:rsid w:val="00BC242A"/>
    <w:rsid w:val="00BC3BEF"/>
    <w:rsid w:val="00BC5C03"/>
    <w:rsid w:val="00BC6E04"/>
    <w:rsid w:val="00BC77EA"/>
    <w:rsid w:val="00BD0074"/>
    <w:rsid w:val="00BD1234"/>
    <w:rsid w:val="00BD2268"/>
    <w:rsid w:val="00BD39AA"/>
    <w:rsid w:val="00BD4825"/>
    <w:rsid w:val="00BD535A"/>
    <w:rsid w:val="00BD6C7F"/>
    <w:rsid w:val="00BD7C5E"/>
    <w:rsid w:val="00BE036B"/>
    <w:rsid w:val="00BE3AFE"/>
    <w:rsid w:val="00BE44AE"/>
    <w:rsid w:val="00BE4E8B"/>
    <w:rsid w:val="00BE505A"/>
    <w:rsid w:val="00BE5DFD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6CD5"/>
    <w:rsid w:val="00BF73CD"/>
    <w:rsid w:val="00C00B62"/>
    <w:rsid w:val="00C01797"/>
    <w:rsid w:val="00C05A91"/>
    <w:rsid w:val="00C06339"/>
    <w:rsid w:val="00C07549"/>
    <w:rsid w:val="00C11D25"/>
    <w:rsid w:val="00C12F8F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01C5"/>
    <w:rsid w:val="00C442C8"/>
    <w:rsid w:val="00C4452B"/>
    <w:rsid w:val="00C44C70"/>
    <w:rsid w:val="00C462AF"/>
    <w:rsid w:val="00C474E1"/>
    <w:rsid w:val="00C47DC1"/>
    <w:rsid w:val="00C5277B"/>
    <w:rsid w:val="00C52993"/>
    <w:rsid w:val="00C56E49"/>
    <w:rsid w:val="00C57BFA"/>
    <w:rsid w:val="00C603AF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5BF6"/>
    <w:rsid w:val="00C760A3"/>
    <w:rsid w:val="00C7650E"/>
    <w:rsid w:val="00C808E0"/>
    <w:rsid w:val="00C80950"/>
    <w:rsid w:val="00C80EAC"/>
    <w:rsid w:val="00C81911"/>
    <w:rsid w:val="00C831AD"/>
    <w:rsid w:val="00C90E6B"/>
    <w:rsid w:val="00C91220"/>
    <w:rsid w:val="00C9175B"/>
    <w:rsid w:val="00C925AF"/>
    <w:rsid w:val="00C92672"/>
    <w:rsid w:val="00C9525D"/>
    <w:rsid w:val="00C9543D"/>
    <w:rsid w:val="00C95FAC"/>
    <w:rsid w:val="00C96AEF"/>
    <w:rsid w:val="00CA0457"/>
    <w:rsid w:val="00CA0501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5A9F"/>
    <w:rsid w:val="00D05BBA"/>
    <w:rsid w:val="00D06BE1"/>
    <w:rsid w:val="00D10857"/>
    <w:rsid w:val="00D145FA"/>
    <w:rsid w:val="00D14926"/>
    <w:rsid w:val="00D14CAD"/>
    <w:rsid w:val="00D15DC3"/>
    <w:rsid w:val="00D16A74"/>
    <w:rsid w:val="00D1737D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4F"/>
    <w:rsid w:val="00D46363"/>
    <w:rsid w:val="00D47E63"/>
    <w:rsid w:val="00D5042C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319C"/>
    <w:rsid w:val="00D768ED"/>
    <w:rsid w:val="00D76EE7"/>
    <w:rsid w:val="00D7719E"/>
    <w:rsid w:val="00D7727E"/>
    <w:rsid w:val="00D77D26"/>
    <w:rsid w:val="00D812A3"/>
    <w:rsid w:val="00D819FF"/>
    <w:rsid w:val="00D85206"/>
    <w:rsid w:val="00D8525B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1AB7"/>
    <w:rsid w:val="00DB25BB"/>
    <w:rsid w:val="00DB3410"/>
    <w:rsid w:val="00DB349F"/>
    <w:rsid w:val="00DB4304"/>
    <w:rsid w:val="00DB5B68"/>
    <w:rsid w:val="00DB628D"/>
    <w:rsid w:val="00DB6AB7"/>
    <w:rsid w:val="00DB7D3B"/>
    <w:rsid w:val="00DC100E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41B"/>
    <w:rsid w:val="00DD28AF"/>
    <w:rsid w:val="00DD3232"/>
    <w:rsid w:val="00DD3CAE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6A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4859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9765B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478C"/>
    <w:rsid w:val="00EC55CE"/>
    <w:rsid w:val="00EC65A8"/>
    <w:rsid w:val="00ED18C3"/>
    <w:rsid w:val="00ED1B09"/>
    <w:rsid w:val="00ED2411"/>
    <w:rsid w:val="00ED7287"/>
    <w:rsid w:val="00EE1313"/>
    <w:rsid w:val="00EE4A0A"/>
    <w:rsid w:val="00EE780C"/>
    <w:rsid w:val="00EE7C55"/>
    <w:rsid w:val="00EF135B"/>
    <w:rsid w:val="00EF6797"/>
    <w:rsid w:val="00EF70C4"/>
    <w:rsid w:val="00EF7B91"/>
    <w:rsid w:val="00F01110"/>
    <w:rsid w:val="00F01EF1"/>
    <w:rsid w:val="00F03B25"/>
    <w:rsid w:val="00F04933"/>
    <w:rsid w:val="00F049F0"/>
    <w:rsid w:val="00F04A53"/>
    <w:rsid w:val="00F04F1A"/>
    <w:rsid w:val="00F073CF"/>
    <w:rsid w:val="00F100F4"/>
    <w:rsid w:val="00F10C8D"/>
    <w:rsid w:val="00F11D9D"/>
    <w:rsid w:val="00F12920"/>
    <w:rsid w:val="00F13690"/>
    <w:rsid w:val="00F14F97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5FFE"/>
    <w:rsid w:val="00F37237"/>
    <w:rsid w:val="00F37947"/>
    <w:rsid w:val="00F37D73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0657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32C9"/>
    <w:rsid w:val="00F84158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2ED1"/>
    <w:rsid w:val="00FD37C3"/>
    <w:rsid w:val="00FD51EB"/>
    <w:rsid w:val="00FD575D"/>
    <w:rsid w:val="00FD7DB3"/>
    <w:rsid w:val="00FE2CDE"/>
    <w:rsid w:val="00FE6335"/>
    <w:rsid w:val="00FE64B5"/>
    <w:rsid w:val="00FF0898"/>
    <w:rsid w:val="00FF17F9"/>
    <w:rsid w:val="00FF1DE7"/>
    <w:rsid w:val="00FF2756"/>
    <w:rsid w:val="00FF359F"/>
    <w:rsid w:val="00FF388C"/>
    <w:rsid w:val="00FF3EED"/>
    <w:rsid w:val="00FF7417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9C1C"/>
  <w15:docId w15:val="{BABE76DB-3146-428C-B206-537B1A86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93"/>
    <w:pPr>
      <w:widowControl w:val="0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B23D7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2341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520BF"/>
    <w:rPr>
      <w:rFonts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4234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17340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42341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42341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2341E"/>
    <w:pPr>
      <w:jc w:val="both"/>
    </w:pPr>
    <w:rPr>
      <w:b/>
      <w:bCs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23D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TOC2">
    <w:name w:val="toc 2"/>
    <w:basedOn w:val="Normal"/>
    <w:next w:val="Normal"/>
    <w:autoRedefine/>
    <w:uiPriority w:val="3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TOC3">
    <w:name w:val="toc 3"/>
    <w:basedOn w:val="Normal"/>
    <w:next w:val="Normal"/>
    <w:autoRedefine/>
    <w:uiPriority w:val="99"/>
    <w:rsid w:val="0042341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42341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42341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42341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2341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2341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2341E"/>
    <w:pPr>
      <w:ind w:left="1920"/>
    </w:pPr>
  </w:style>
  <w:style w:type="character" w:styleId="Hyperlink">
    <w:name w:val="Hyperlink"/>
    <w:basedOn w:val="DefaultParagraphFont"/>
    <w:uiPriority w:val="99"/>
    <w:rsid w:val="0042341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23D7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42341E"/>
    <w:pPr>
      <w:jc w:val="center"/>
    </w:pPr>
    <w:rPr>
      <w:b/>
      <w:bCs/>
      <w:lang w:val="el-G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B23D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23D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8A7"/>
    <w:pPr>
      <w:spacing w:after="200" w:line="276" w:lineRule="auto"/>
      <w:ind w:left="720"/>
      <w:contextualSpacing/>
    </w:pPr>
    <w:rPr>
      <w:szCs w:val="22"/>
      <w:lang w:val="el-GR"/>
    </w:rPr>
  </w:style>
  <w:style w:type="table" w:styleId="TableGrid">
    <w:name w:val="Table Grid"/>
    <w:basedOn w:val="TableNormal"/>
    <w:uiPriority w:val="99"/>
    <w:rsid w:val="001B7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TOCHeading">
    <w:name w:val="TOC Heading"/>
    <w:basedOn w:val="Heading1"/>
    <w:next w:val="Normal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uiPriority w:val="99"/>
    <w:rsid w:val="00C44C7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571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7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23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DefaultParagraphFont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DefaultParagraphFont"/>
    <w:uiPriority w:val="99"/>
    <w:rsid w:val="00AB18AC"/>
    <w:rPr>
      <w:rFonts w:cs="Times New Roman"/>
    </w:rPr>
  </w:style>
  <w:style w:type="character" w:customStyle="1" w:styleId="qatooltip">
    <w:name w:val="qa_tooltip"/>
    <w:basedOn w:val="DefaultParagraphFont"/>
    <w:uiPriority w:val="99"/>
    <w:rsid w:val="00667ED7"/>
    <w:rPr>
      <w:rFonts w:cs="Times New Roman"/>
    </w:rPr>
  </w:style>
  <w:style w:type="table" w:customStyle="1" w:styleId="TableGrid1">
    <w:name w:val="Table Grid1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82703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903735"/>
    <w:rPr>
      <w:rFonts w:cs="Times New Roman"/>
    </w:rPr>
  </w:style>
  <w:style w:type="character" w:customStyle="1" w:styleId="atn">
    <w:name w:val="atn"/>
    <w:basedOn w:val="DefaultParagraphFont"/>
    <w:uiPriority w:val="99"/>
    <w:rsid w:val="00903735"/>
    <w:rPr>
      <w:rFonts w:cs="Times New Roman"/>
    </w:rPr>
  </w:style>
  <w:style w:type="character" w:customStyle="1" w:styleId="st">
    <w:name w:val="st"/>
    <w:basedOn w:val="DefaultParagraphFont"/>
    <w:uiPriority w:val="99"/>
    <w:rsid w:val="00C210BA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C210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305870"/>
    <w:rPr>
      <w:rFonts w:cs="Times New Roman"/>
      <w:b/>
      <w:bCs/>
    </w:rPr>
  </w:style>
  <w:style w:type="paragraph" w:customStyle="1" w:styleId="Default">
    <w:name w:val="Default"/>
    <w:rsid w:val="00700B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paragraph" w:styleId="NormalWeb">
    <w:name w:val="Normal (Web)"/>
    <w:basedOn w:val="Normal"/>
    <w:uiPriority w:val="99"/>
    <w:semiHidden/>
    <w:unhideWhenUsed/>
    <w:locked/>
    <w:rsid w:val="001220F6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64740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911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2669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12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36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22197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150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5863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20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6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Ι</vt:lpstr>
      <vt:lpstr>Ι</vt:lpstr>
    </vt:vector>
  </TitlesOfParts>
  <Company>Aegean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Panagiotis Thanassas</cp:lastModifiedBy>
  <cp:revision>2</cp:revision>
  <cp:lastPrinted>2014-04-24T14:33:00Z</cp:lastPrinted>
  <dcterms:created xsi:type="dcterms:W3CDTF">2025-01-04T16:34:00Z</dcterms:created>
  <dcterms:modified xsi:type="dcterms:W3CDTF">2025-01-04T16:34:00Z</dcterms:modified>
</cp:coreProperties>
</file>