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0566" w14:textId="77777777" w:rsidR="00276F93" w:rsidRPr="00276F93" w:rsidRDefault="00276F93" w:rsidP="000F4FD4">
      <w:pPr>
        <w:spacing w:before="120" w:line="276" w:lineRule="auto"/>
        <w:jc w:val="center"/>
        <w:rPr>
          <w:rFonts w:cs="Arial"/>
          <w:b/>
          <w:sz w:val="28"/>
          <w:szCs w:val="28"/>
        </w:rPr>
      </w:pPr>
      <w:bookmarkStart w:id="0" w:name="_Toc181708547"/>
      <w:r w:rsidRPr="00276F93">
        <w:rPr>
          <w:rFonts w:cs="Arial"/>
          <w:b/>
          <w:sz w:val="28"/>
          <w:szCs w:val="28"/>
        </w:rPr>
        <w:t>COURSE OUTLINE</w:t>
      </w:r>
    </w:p>
    <w:p w14:paraId="04F87C9A" w14:textId="77777777" w:rsidR="006B36B1" w:rsidRDefault="006B36B1" w:rsidP="00045AA2"/>
    <w:p w14:paraId="4BD0E268" w14:textId="77777777" w:rsidR="00045AA2" w:rsidRPr="00045AA2" w:rsidRDefault="00045AA2" w:rsidP="00045AA2"/>
    <w:p w14:paraId="278A8E0B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(1) </w:t>
      </w:r>
      <w:r w:rsidR="00276F93" w:rsidRPr="00045AA2">
        <w:rPr>
          <w:b/>
        </w:rPr>
        <w:t>GENERAL</w:t>
      </w:r>
    </w:p>
    <w:p w14:paraId="097802CF" w14:textId="77777777" w:rsidR="00045AA2" w:rsidRPr="00045AA2" w:rsidRDefault="00045A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943"/>
        <w:gridCol w:w="2505"/>
        <w:gridCol w:w="351"/>
        <w:gridCol w:w="1871"/>
      </w:tblGrid>
      <w:tr w:rsidR="00D8525B" w:rsidRPr="00D8525B" w14:paraId="6D920FE5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C106543" w14:textId="77777777" w:rsidR="000F4FD4" w:rsidRPr="00D8525B" w:rsidRDefault="00276F93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UNIVERSITY / Department</w:t>
            </w:r>
          </w:p>
        </w:tc>
        <w:tc>
          <w:tcPr>
            <w:tcW w:w="6804" w:type="dxa"/>
            <w:gridSpan w:val="5"/>
          </w:tcPr>
          <w:p w14:paraId="7C099FAA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NATIONAL AND KAPODISTRIAN UNIVERSITY OF ATHENS /  Department of History and Philosophy of Science </w:t>
            </w:r>
          </w:p>
          <w:p w14:paraId="183F4548" w14:textId="77777777" w:rsidR="00276F93" w:rsidRPr="00D8525B" w:rsidRDefault="00276F93" w:rsidP="00276F93">
            <w:pPr>
              <w:rPr>
                <w:rFonts w:cstheme="minorHAnsi"/>
                <w:sz w:val="20"/>
                <w:szCs w:val="20"/>
              </w:rPr>
            </w:pPr>
            <w:r w:rsidRPr="00D8525B">
              <w:rPr>
                <w:rFonts w:cstheme="minorHAnsi"/>
                <w:sz w:val="20"/>
                <w:szCs w:val="20"/>
              </w:rPr>
              <w:t>in collaboration with:</w:t>
            </w:r>
          </w:p>
          <w:p w14:paraId="4E518CD5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ARISTOTLE UNIVERSITY OF THESSALONIKI / Department of Philosophy and Education</w:t>
            </w:r>
          </w:p>
          <w:p w14:paraId="2994B1A1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UNIVERSITY OF PATRAS / Department of Philosophy</w:t>
            </w:r>
          </w:p>
          <w:p w14:paraId="486F36B1" w14:textId="77777777" w:rsidR="000F4FD4" w:rsidRPr="00D8525B" w:rsidRDefault="00276F93" w:rsidP="009C028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UNIVERSITY OF CRETE / Department of Philosophy and Social Studies </w:t>
            </w:r>
          </w:p>
        </w:tc>
      </w:tr>
      <w:tr w:rsidR="00D8525B" w:rsidRPr="00D8525B" w14:paraId="3DE8723B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778BE1A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6804" w:type="dxa"/>
            <w:gridSpan w:val="5"/>
          </w:tcPr>
          <w:p w14:paraId="0E21B34E" w14:textId="77777777" w:rsidR="000F4FD4" w:rsidRPr="00D8525B" w:rsidRDefault="009C028C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Postgraduate</w:t>
            </w:r>
          </w:p>
        </w:tc>
      </w:tr>
      <w:tr w:rsidR="00D8525B" w:rsidRPr="00D8525B" w14:paraId="44E6572D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973126F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2077" w:type="dxa"/>
            <w:gridSpan w:val="2"/>
          </w:tcPr>
          <w:p w14:paraId="6E96ED5C" w14:textId="48A25CAA" w:rsidR="000F4FD4" w:rsidRPr="00D8525B" w:rsidRDefault="002A248D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05" w:type="dxa"/>
            <w:shd w:val="clear" w:color="auto" w:fill="DDD9C3" w:themeFill="background2" w:themeFillShade="E6"/>
          </w:tcPr>
          <w:p w14:paraId="2F1CD5BD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SEMESTER OF STUDY</w:t>
            </w:r>
          </w:p>
        </w:tc>
        <w:tc>
          <w:tcPr>
            <w:tcW w:w="2222" w:type="dxa"/>
            <w:gridSpan w:val="2"/>
          </w:tcPr>
          <w:p w14:paraId="00407C1F" w14:textId="77777777" w:rsidR="000F4FD4" w:rsidRPr="00D8525B" w:rsidRDefault="009C028C" w:rsidP="009C028C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>1st or 2nd</w:t>
            </w:r>
          </w:p>
        </w:tc>
      </w:tr>
      <w:tr w:rsidR="00D8525B" w:rsidRPr="00D8525B" w14:paraId="3E5B0DC3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53AB2FBE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 xml:space="preserve">COURSE TITLE </w:t>
            </w:r>
          </w:p>
        </w:tc>
        <w:tc>
          <w:tcPr>
            <w:tcW w:w="6804" w:type="dxa"/>
            <w:gridSpan w:val="5"/>
            <w:vAlign w:val="center"/>
          </w:tcPr>
          <w:p w14:paraId="69535E71" w14:textId="06C9E6E4" w:rsidR="000F4FD4" w:rsidRPr="00D8525B" w:rsidRDefault="001A1FC8" w:rsidP="009C028C">
            <w:pPr>
              <w:rPr>
                <w:sz w:val="20"/>
                <w:szCs w:val="20"/>
              </w:rPr>
            </w:pPr>
            <w:r w:rsidRPr="007E7842">
              <w:rPr>
                <w:rFonts w:cs="Calibri"/>
                <w:szCs w:val="22"/>
              </w:rPr>
              <w:t>Topics in Ancient Philosophy</w:t>
            </w:r>
          </w:p>
        </w:tc>
      </w:tr>
      <w:tr w:rsidR="00151016" w:rsidRPr="00D8525B" w14:paraId="7D531997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462BBD38" w14:textId="77777777" w:rsidR="00151016" w:rsidRPr="00D8525B" w:rsidRDefault="0015101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INSTRUCTOR(S)</w:t>
            </w:r>
          </w:p>
        </w:tc>
        <w:tc>
          <w:tcPr>
            <w:tcW w:w="6804" w:type="dxa"/>
            <w:gridSpan w:val="5"/>
            <w:vAlign w:val="center"/>
          </w:tcPr>
          <w:p w14:paraId="1706DCD8" w14:textId="174BAD6E" w:rsidR="00151016" w:rsidRPr="00D8525B" w:rsidRDefault="001A1FC8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Panos  Dimas</w:t>
            </w:r>
          </w:p>
        </w:tc>
      </w:tr>
      <w:tr w:rsidR="00D8525B" w:rsidRPr="00D8525B" w14:paraId="38A1B831" w14:textId="77777777" w:rsidTr="003575C7">
        <w:trPr>
          <w:trHeight w:val="283"/>
        </w:trPr>
        <w:tc>
          <w:tcPr>
            <w:tcW w:w="3397" w:type="dxa"/>
            <w:gridSpan w:val="2"/>
            <w:shd w:val="clear" w:color="auto" w:fill="DDD9C3" w:themeFill="background2" w:themeFillShade="E6"/>
            <w:vAlign w:val="center"/>
          </w:tcPr>
          <w:p w14:paraId="7809AEDD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TEACHING ACTIVITIES</w:t>
            </w:r>
          </w:p>
        </w:tc>
        <w:tc>
          <w:tcPr>
            <w:tcW w:w="3799" w:type="dxa"/>
            <w:gridSpan w:val="3"/>
            <w:shd w:val="clear" w:color="auto" w:fill="DDD9C3" w:themeFill="background2" w:themeFillShade="E6"/>
            <w:vAlign w:val="center"/>
          </w:tcPr>
          <w:p w14:paraId="26863B9D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871" w:type="dxa"/>
            <w:shd w:val="clear" w:color="auto" w:fill="DDD9C3" w:themeFill="background2" w:themeFillShade="E6"/>
            <w:vAlign w:val="center"/>
          </w:tcPr>
          <w:p w14:paraId="06A9BC19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ECTS</w:t>
            </w:r>
          </w:p>
        </w:tc>
      </w:tr>
      <w:tr w:rsidR="00D8525B" w:rsidRPr="00D8525B" w14:paraId="3E04E814" w14:textId="77777777" w:rsidTr="003575C7">
        <w:trPr>
          <w:trHeight w:val="283"/>
        </w:trPr>
        <w:tc>
          <w:tcPr>
            <w:tcW w:w="3397" w:type="dxa"/>
            <w:gridSpan w:val="2"/>
          </w:tcPr>
          <w:p w14:paraId="2F23F09D" w14:textId="77777777" w:rsidR="000F4FD4" w:rsidRPr="00D8525B" w:rsidRDefault="00F60657" w:rsidP="00F60657">
            <w:pPr>
              <w:jc w:val="center"/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Seminars</w:t>
            </w:r>
          </w:p>
        </w:tc>
        <w:tc>
          <w:tcPr>
            <w:tcW w:w="3799" w:type="dxa"/>
            <w:gridSpan w:val="3"/>
          </w:tcPr>
          <w:p w14:paraId="10D29573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871" w:type="dxa"/>
          </w:tcPr>
          <w:p w14:paraId="79BC0B28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10</w:t>
            </w:r>
          </w:p>
        </w:tc>
      </w:tr>
      <w:tr w:rsidR="00D8525B" w:rsidRPr="00D8525B" w14:paraId="07DB5975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5D482C7E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6804" w:type="dxa"/>
            <w:gridSpan w:val="5"/>
          </w:tcPr>
          <w:p w14:paraId="34DFC6D3" w14:textId="77777777" w:rsidR="000F4FD4" w:rsidRPr="00D8525B" w:rsidRDefault="00F60657" w:rsidP="00F60657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>specialization, skills development</w:t>
            </w:r>
          </w:p>
        </w:tc>
      </w:tr>
      <w:tr w:rsidR="00D8525B" w:rsidRPr="00D8525B" w14:paraId="098428C9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050397F4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PREREQUISITE COURSES</w:t>
            </w:r>
          </w:p>
        </w:tc>
        <w:tc>
          <w:tcPr>
            <w:tcW w:w="6804" w:type="dxa"/>
            <w:gridSpan w:val="5"/>
          </w:tcPr>
          <w:p w14:paraId="75E912D3" w14:textId="77777777" w:rsidR="000F4FD4" w:rsidRPr="00D8525B" w:rsidRDefault="00056B96" w:rsidP="007673F3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–</w:t>
            </w:r>
          </w:p>
        </w:tc>
      </w:tr>
      <w:tr w:rsidR="00D8525B" w:rsidRPr="00D8525B" w14:paraId="0F6EA376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2E1D4B83" w14:textId="77777777" w:rsidR="000F4FD4" w:rsidRPr="00D8525B" w:rsidRDefault="00262D4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E6182E">
              <w:rPr>
                <w:rFonts w:cs="Arial"/>
                <w:b/>
                <w:sz w:val="20"/>
                <w:szCs w:val="20"/>
              </w:rPr>
              <w:t>LANGUAGE OF INSTRUCTION and EXAMINATIONS</w:t>
            </w:r>
          </w:p>
        </w:tc>
        <w:tc>
          <w:tcPr>
            <w:tcW w:w="6804" w:type="dxa"/>
            <w:gridSpan w:val="5"/>
          </w:tcPr>
          <w:p w14:paraId="34E6A5AD" w14:textId="77777777" w:rsidR="000F4FD4" w:rsidRPr="00D8525B" w:rsidRDefault="00262D46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English</w:t>
            </w:r>
          </w:p>
        </w:tc>
      </w:tr>
      <w:tr w:rsidR="00D8525B" w:rsidRPr="00D8525B" w14:paraId="4E6BBB4A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22818F88" w14:textId="77777777" w:rsidR="000F4FD4" w:rsidRPr="00E6182E" w:rsidRDefault="00C401C5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E6182E">
              <w:rPr>
                <w:rFonts w:cs="Arial"/>
                <w:b/>
                <w:sz w:val="20"/>
                <w:szCs w:val="20"/>
              </w:rPr>
              <w:t>COURSE OFFERED TO ERASMUS STUDENTS</w:t>
            </w:r>
          </w:p>
        </w:tc>
        <w:tc>
          <w:tcPr>
            <w:tcW w:w="6804" w:type="dxa"/>
            <w:gridSpan w:val="5"/>
          </w:tcPr>
          <w:p w14:paraId="5F6C0795" w14:textId="5A541166" w:rsidR="000F4FD4" w:rsidRPr="00D8525B" w:rsidRDefault="00C401C5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N</w:t>
            </w:r>
            <w:r w:rsidR="00E6182E">
              <w:rPr>
                <w:rFonts w:cs="Arial"/>
                <w:sz w:val="20"/>
                <w:szCs w:val="20"/>
              </w:rPr>
              <w:t>/A</w:t>
            </w:r>
          </w:p>
        </w:tc>
      </w:tr>
      <w:tr w:rsidR="00D8525B" w:rsidRPr="00D8525B" w14:paraId="016F4EBC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5FCEFC2" w14:textId="77777777" w:rsidR="000F4FD4" w:rsidRPr="00D8525B" w:rsidRDefault="00C401C5" w:rsidP="007673F3">
            <w:pPr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6804" w:type="dxa"/>
            <w:gridSpan w:val="5"/>
          </w:tcPr>
          <w:p w14:paraId="2386B235" w14:textId="77777777" w:rsidR="000F4FD4" w:rsidRPr="00D8525B" w:rsidRDefault="00C401C5" w:rsidP="009326C0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++</w:t>
            </w:r>
          </w:p>
        </w:tc>
      </w:tr>
    </w:tbl>
    <w:p w14:paraId="262C2D9B" w14:textId="77777777" w:rsidR="003575C7" w:rsidRDefault="003575C7" w:rsidP="00045AA2"/>
    <w:p w14:paraId="07DE6CB4" w14:textId="77777777" w:rsidR="00045AA2" w:rsidRPr="00045AA2" w:rsidRDefault="00045AA2" w:rsidP="00045AA2"/>
    <w:p w14:paraId="7AFCE8C0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(2) </w:t>
      </w:r>
      <w:r w:rsidR="006B36B1" w:rsidRPr="00045AA2">
        <w:rPr>
          <w:b/>
        </w:rPr>
        <w:t xml:space="preserve">LEARNING OUTCOMES </w:t>
      </w:r>
    </w:p>
    <w:p w14:paraId="537A0E83" w14:textId="77777777" w:rsidR="00045AA2" w:rsidRPr="00045AA2" w:rsidRDefault="00045AA2" w:rsidP="00045AA2"/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780FBF" w14:paraId="65170F70" w14:textId="77777777" w:rsidTr="00045AA2"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0C8BAA75" w14:textId="77777777" w:rsidR="000F4FD4" w:rsidRPr="00780FBF" w:rsidRDefault="00B0050B" w:rsidP="00780FBF">
            <w:pPr>
              <w:rPr>
                <w:b/>
              </w:rPr>
            </w:pPr>
            <w:r w:rsidRPr="00780FBF">
              <w:rPr>
                <w:b/>
              </w:rPr>
              <w:t>Learning Outcomes</w:t>
            </w:r>
          </w:p>
        </w:tc>
      </w:tr>
      <w:tr w:rsidR="000F4FD4" w:rsidRPr="001A1FC8" w14:paraId="24FE13A3" w14:textId="77777777" w:rsidTr="00045AA2">
        <w:tc>
          <w:tcPr>
            <w:tcW w:w="9067" w:type="dxa"/>
            <w:tcBorders>
              <w:top w:val="nil"/>
            </w:tcBorders>
            <w:shd w:val="clear" w:color="auto" w:fill="DDD9C3" w:themeFill="background2" w:themeFillShade="E6"/>
          </w:tcPr>
          <w:p w14:paraId="16D92F73" w14:textId="2C9349D4" w:rsidR="000F4FD4" w:rsidRPr="00705AAD" w:rsidRDefault="000F4FD4" w:rsidP="001A1FC8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</w:tr>
      <w:tr w:rsidR="000F4FD4" w:rsidRPr="00BF6CD5" w14:paraId="0D95A4A3" w14:textId="77777777" w:rsidTr="00045AA2">
        <w:tc>
          <w:tcPr>
            <w:tcW w:w="9067" w:type="dxa"/>
          </w:tcPr>
          <w:p w14:paraId="42442B48" w14:textId="77777777" w:rsidR="00C474E1" w:rsidRPr="002A248D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08FF7A60" w14:textId="77777777" w:rsidR="00C474E1" w:rsidRPr="00E6182E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C474E1">
              <w:rPr>
                <w:rFonts w:eastAsia="Calibri"/>
                <w:szCs w:val="22"/>
                <w:lang w:val="en-GB"/>
              </w:rPr>
              <w:t>Upon successful completion of the course, students</w:t>
            </w:r>
            <w:r w:rsidRPr="00E6182E">
              <w:rPr>
                <w:rFonts w:eastAsia="Calibri"/>
                <w:szCs w:val="22"/>
              </w:rPr>
              <w:t>:</w:t>
            </w:r>
          </w:p>
          <w:p w14:paraId="4C066979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have gained familiarity with close reading and interpretation of a philosophical text;</w:t>
            </w:r>
          </w:p>
          <w:p w14:paraId="2D09346E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apply their knowledge and understanding within the broader context of philosophy;</w:t>
            </w:r>
          </w:p>
          <w:p w14:paraId="552D21E6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form judgments about the social and moral issues raised in the text;</w:t>
            </w:r>
          </w:p>
          <w:p w14:paraId="3F7A4866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familiar with translation theory and practice (as the text will be studied in a new translation prepared by the instructor)</w:t>
            </w:r>
          </w:p>
          <w:p w14:paraId="513854B5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communicate clearly their conclusions and the reasoning and logical assumptions on which they are based to both specialist and non-specialist audiences;</w:t>
            </w:r>
          </w:p>
          <w:p w14:paraId="791693EB" w14:textId="77777777" w:rsidR="00F03B25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have strengthened the necessary skills to continue their studies independently</w:t>
            </w:r>
          </w:p>
          <w:p w14:paraId="72359B59" w14:textId="77777777" w:rsidR="006B36B1" w:rsidRPr="006B36B1" w:rsidRDefault="006B36B1" w:rsidP="006B36B1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</w:tc>
      </w:tr>
      <w:tr w:rsidR="000F4FD4" w:rsidRPr="00780FBF" w14:paraId="7E76939F" w14:textId="77777777" w:rsidTr="00045AA2">
        <w:tblPrEx>
          <w:tblLook w:val="0000" w:firstRow="0" w:lastRow="0" w:firstColumn="0" w:lastColumn="0" w:noHBand="0" w:noVBand="0"/>
        </w:tblPrEx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40D9CC12" w14:textId="77777777" w:rsidR="000F4FD4" w:rsidRPr="00780FBF" w:rsidRDefault="00486306" w:rsidP="00780FBF">
            <w:pPr>
              <w:rPr>
                <w:b/>
              </w:rPr>
            </w:pPr>
            <w:r w:rsidRPr="00780FBF">
              <w:rPr>
                <w:b/>
              </w:rPr>
              <w:t>General Skills</w:t>
            </w:r>
          </w:p>
        </w:tc>
      </w:tr>
      <w:tr w:rsidR="000F4FD4" w:rsidRPr="007E6482" w14:paraId="5EB8019C" w14:textId="77777777" w:rsidTr="00045AA2">
        <w:tc>
          <w:tcPr>
            <w:tcW w:w="9067" w:type="dxa"/>
            <w:tcBorders>
              <w:bottom w:val="single" w:sz="4" w:space="0" w:color="auto"/>
            </w:tcBorders>
          </w:tcPr>
          <w:p w14:paraId="2549072E" w14:textId="77777777" w:rsidR="000F4FD4" w:rsidRPr="00972D53" w:rsidRDefault="000F4FD4" w:rsidP="00972D53"/>
          <w:p w14:paraId="7DA548A6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Independent work</w:t>
            </w:r>
          </w:p>
          <w:p w14:paraId="48E0F972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Teamwork</w:t>
            </w:r>
          </w:p>
          <w:p w14:paraId="79CE6F0A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lastRenderedPageBreak/>
              <w:t>Work in an international environment</w:t>
            </w:r>
          </w:p>
          <w:p w14:paraId="7F86D0A9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Work in an interdisciplinary environment</w:t>
            </w:r>
          </w:p>
          <w:p w14:paraId="71FFD150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Generating new research ideas</w:t>
            </w:r>
          </w:p>
          <w:p w14:paraId="7E0DD5E1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Exercise criticism and self-criticism</w:t>
            </w:r>
          </w:p>
          <w:p w14:paraId="73D327A0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Promotion of free, creative and inductive thinking</w:t>
            </w:r>
          </w:p>
          <w:p w14:paraId="06A40DF4" w14:textId="77777777" w:rsidR="000F4FD4" w:rsidRPr="00E6182E" w:rsidRDefault="000F4FD4" w:rsidP="00700BE6">
            <w:pPr>
              <w:rPr>
                <w:rFonts w:cs="Arial"/>
                <w:color w:val="002060"/>
                <w:szCs w:val="22"/>
              </w:rPr>
            </w:pPr>
          </w:p>
        </w:tc>
      </w:tr>
    </w:tbl>
    <w:p w14:paraId="5422B1CF" w14:textId="77777777" w:rsidR="00045AA2" w:rsidRDefault="00045AA2" w:rsidP="00045AA2"/>
    <w:p w14:paraId="520C40DE" w14:textId="77777777" w:rsidR="00045AA2" w:rsidRPr="00045AA2" w:rsidRDefault="00045AA2" w:rsidP="00045AA2"/>
    <w:p w14:paraId="0BD38055" w14:textId="5155B948" w:rsidR="00045AA2" w:rsidRPr="002115AC" w:rsidRDefault="00045AA2" w:rsidP="00045AA2">
      <w:pPr>
        <w:rPr>
          <w:b/>
        </w:rPr>
      </w:pPr>
      <w:r w:rsidRPr="00045AA2">
        <w:rPr>
          <w:b/>
        </w:rPr>
        <w:t>(3) COURSE CONTENT</w:t>
      </w:r>
    </w:p>
    <w:p w14:paraId="4BEF002A" w14:textId="77777777" w:rsidR="007761A2" w:rsidRPr="00045AA2" w:rsidRDefault="007761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F21D37" w14:paraId="7973F27A" w14:textId="77777777" w:rsidTr="00045AA2">
        <w:tc>
          <w:tcPr>
            <w:tcW w:w="9067" w:type="dxa"/>
          </w:tcPr>
          <w:p w14:paraId="3E528121" w14:textId="4271DCEB" w:rsidR="001F3B66" w:rsidRPr="000E7600" w:rsidRDefault="001F3B66" w:rsidP="001F3B66">
            <w:pPr>
              <w:rPr>
                <w:rFonts w:ascii="Aptos" w:hAnsi="Aptos"/>
                <w:color w:val="000000"/>
                <w:sz w:val="27"/>
                <w:szCs w:val="27"/>
              </w:rPr>
            </w:pPr>
            <w:r>
              <w:rPr>
                <w:rFonts w:ascii="Aptos" w:hAnsi="Aptos"/>
                <w:b/>
                <w:bCs/>
                <w:color w:val="000000"/>
                <w:sz w:val="27"/>
                <w:szCs w:val="27"/>
              </w:rPr>
              <w:t>Pleasure and the Human</w:t>
            </w:r>
            <w:r w:rsidR="00E57AD8">
              <w:rPr>
                <w:rFonts w:ascii="Aptos" w:hAnsi="Aptos"/>
                <w:b/>
                <w:bCs/>
                <w:color w:val="000000"/>
                <w:sz w:val="27"/>
                <w:szCs w:val="27"/>
              </w:rPr>
              <w:t xml:space="preserve"> Good</w:t>
            </w:r>
            <w:r w:rsidR="000E7600">
              <w:rPr>
                <w:rFonts w:ascii="Aptos" w:hAnsi="Aptos"/>
                <w:b/>
                <w:bCs/>
                <w:color w:val="000000"/>
                <w:sz w:val="27"/>
                <w:szCs w:val="27"/>
              </w:rPr>
              <w:t xml:space="preserve"> in Plato</w:t>
            </w:r>
          </w:p>
          <w:p w14:paraId="7E309D0F" w14:textId="23E26FF4" w:rsidR="001F3B66" w:rsidRPr="001A1FC8" w:rsidRDefault="001F3B66" w:rsidP="001F3B6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2A0652FE" w14:textId="240F202B" w:rsidR="001F3B66" w:rsidRPr="001A1FC8" w:rsidRDefault="001F3B66" w:rsidP="001F3B6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Pleasure is a central theme </w:t>
            </w:r>
            <w:r w:rsidR="00ED1AF4" w:rsidRPr="001A1FC8">
              <w:rPr>
                <w:rFonts w:asciiTheme="minorHAnsi" w:hAnsiTheme="minorHAnsi" w:cstheme="minorHAnsi"/>
                <w:color w:val="000000"/>
                <w:szCs w:val="22"/>
              </w:rPr>
              <w:t>throughout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Plato’s work. He discusses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it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and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it’s connection to human virtue and happiness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in 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>many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of his dialogues, spanning from the </w:t>
            </w:r>
            <w:r w:rsidRPr="001A1FC8">
              <w:rPr>
                <w:rFonts w:asciiTheme="minorHAnsi" w:hAnsiTheme="minorHAnsi" w:cstheme="minorHAnsi"/>
                <w:szCs w:val="22"/>
              </w:rPr>
              <w:t xml:space="preserve">early </w:t>
            </w:r>
            <w:r w:rsidRPr="001A1FC8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Protagoras</w:t>
            </w:r>
            <w:r w:rsidR="004C3F1C" w:rsidRPr="001A1FC8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all the way to 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his last work,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>the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A1FC8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Laws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Still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, the 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role and importance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of pleasure 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in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Plato’s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psychology and ethical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thought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is little discussed and even less understood. In this seminar we attempt to bring to light what Plato understands by pleasure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and its place in his overall thinking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. We 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will </w:t>
            </w:r>
            <w:r w:rsidR="000E7600" w:rsidRPr="001A1FC8">
              <w:rPr>
                <w:rFonts w:asciiTheme="minorHAnsi" w:hAnsiTheme="minorHAnsi" w:cstheme="minorHAnsi"/>
                <w:color w:val="000000"/>
                <w:szCs w:val="22"/>
              </w:rPr>
              <w:t>do so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by looking carefully into dialogues and passage where he discusses it. 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>The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texts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to which we will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focus on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are listed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below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.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A detailed program of the work that will be expected from the participants during the seminar 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>is also listed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, and will be specified further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in the course of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the meetings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  <w:p w14:paraId="7883539F" w14:textId="7187EF10" w:rsidR="00067ECF" w:rsidRPr="001A1FC8" w:rsidRDefault="001F3B66" w:rsidP="001F3B6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  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 A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further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central theme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on which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we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will 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be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focusing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is whether Plato’s views on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pleasure and its place in his ethical thinking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change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in the course of his career, and if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it does</w:t>
            </w:r>
            <w:r w:rsidR="00067ECF" w:rsidRPr="001A1FC8">
              <w:rPr>
                <w:rFonts w:asciiTheme="minorHAnsi" w:hAnsiTheme="minorHAnsi" w:cstheme="minorHAnsi"/>
                <w:color w:val="000000"/>
                <w:szCs w:val="22"/>
              </w:rPr>
              <w:t>, how.</w:t>
            </w:r>
          </w:p>
          <w:p w14:paraId="4FAAAE91" w14:textId="7B35C43A" w:rsidR="001F3B66" w:rsidRPr="001A1FC8" w:rsidRDefault="00067ECF" w:rsidP="001F3B6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    </w:t>
            </w:r>
            <w:r w:rsidR="001F3B66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The dialogues and 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>parts of dialogues</w:t>
            </w:r>
            <w:r w:rsidR="001F3B66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mentioned</w:t>
            </w:r>
            <w:r w:rsidR="001F3B66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in this document will</w:t>
            </w:r>
            <w:r w:rsidR="001F3B66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be the 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reading material for the course.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W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e will be working mainly if not exclusively with primary literature,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which consists of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the Platonic dialogues mentioned.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And w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>e will feel free to expand to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other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passages from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the 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Platonic </w:t>
            </w:r>
            <w:r w:rsidR="00732E5E" w:rsidRPr="001A1FC8">
              <w:rPr>
                <w:rFonts w:asciiTheme="minorHAnsi" w:hAnsiTheme="minorHAnsi" w:cstheme="minorHAnsi"/>
                <w:color w:val="000000"/>
                <w:szCs w:val="22"/>
              </w:rPr>
              <w:t>corpus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, if appropriate. </w:t>
            </w:r>
            <w:r w:rsidR="00C8380C" w:rsidRPr="001A1FC8">
              <w:rPr>
                <w:rFonts w:asciiTheme="minorHAnsi" w:hAnsiTheme="minorHAnsi" w:cstheme="minorHAnsi"/>
                <w:color w:val="000000"/>
                <w:szCs w:val="22"/>
              </w:rPr>
              <w:t>The participants are welcome, indeed advised, to consult secondary literature, as they see fit.</w:t>
            </w:r>
          </w:p>
          <w:p w14:paraId="7EB4CEF1" w14:textId="5DBB22A1" w:rsidR="000F4FD4" w:rsidRPr="001F3B66" w:rsidRDefault="00C8380C" w:rsidP="00C8380C">
            <w:pPr>
              <w:rPr>
                <w:rFonts w:cs="Arial"/>
                <w:color w:val="002060"/>
                <w:sz w:val="20"/>
                <w:szCs w:val="20"/>
              </w:rPr>
            </w:pP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 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The format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of our meetings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will be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that of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a seminar. Though the professor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is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the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one mainly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>responsib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le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for the progress of the seminar, the participants are expected to participate with questions and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suggestions, as well as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>proposal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regarding additional texts. They will also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be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expected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to give presentations on selected passages from the syllabus.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>In addition, p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>rior to each meeting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each participant will be expected to produce a page 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long written assignment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on 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issues and problems in 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the 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>designated</w:t>
            </w:r>
            <w:r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reading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>(s)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for th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>e</w:t>
            </w:r>
            <w:r w:rsidR="00BF23FA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meeting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4C3F1C" w:rsidRPr="001A1FC8">
              <w:rPr>
                <w:rFonts w:asciiTheme="minorHAnsi" w:hAnsiTheme="minorHAnsi" w:cstheme="minorHAnsi"/>
                <w:color w:val="000000"/>
                <w:szCs w:val="22"/>
              </w:rPr>
              <w:t xml:space="preserve">that </w:t>
            </w:r>
            <w:r w:rsidR="000863B9" w:rsidRPr="001A1FC8">
              <w:rPr>
                <w:rFonts w:asciiTheme="minorHAnsi" w:hAnsiTheme="minorHAnsi" w:cstheme="minorHAnsi"/>
                <w:color w:val="000000"/>
                <w:szCs w:val="22"/>
              </w:rPr>
              <w:t>they find interesting</w:t>
            </w:r>
            <w:r w:rsidR="000D4885" w:rsidRPr="001A1FC8">
              <w:rPr>
                <w:rFonts w:asciiTheme="minorHAnsi" w:hAnsiTheme="minorHAnsi" w:cstheme="minorHAnsi"/>
                <w:color w:val="000000"/>
                <w:szCs w:val="22"/>
              </w:rPr>
              <w:t>, and hand it in to the seminar leader.</w:t>
            </w:r>
          </w:p>
        </w:tc>
      </w:tr>
    </w:tbl>
    <w:p w14:paraId="63E49328" w14:textId="77777777" w:rsidR="00F37D73" w:rsidRPr="00045AA2" w:rsidRDefault="00F37D73" w:rsidP="00045AA2"/>
    <w:p w14:paraId="52EE521A" w14:textId="77777777" w:rsidR="00045AA2" w:rsidRPr="00780FBF" w:rsidRDefault="00045AA2" w:rsidP="00045AA2">
      <w:pPr>
        <w:rPr>
          <w:b/>
        </w:rPr>
      </w:pPr>
      <w:r w:rsidRPr="00780FBF">
        <w:rPr>
          <w:b/>
        </w:rPr>
        <w:t>(4) TEACHING AND LEARNING METHODS – ASSESSMENT</w:t>
      </w:r>
    </w:p>
    <w:p w14:paraId="1BD090DB" w14:textId="77777777" w:rsidR="00045AA2" w:rsidRPr="00045AA2" w:rsidRDefault="00045AA2" w:rsidP="00045AA2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F4FD4" w:rsidRPr="00BF6CD5" w14:paraId="2CC79682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65ED40CF" w14:textId="77777777" w:rsidR="000F4FD4" w:rsidRDefault="002E3C95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</w:rPr>
              <w:t>TEACHING</w:t>
            </w:r>
            <w:r w:rsidRPr="00E6182E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F049F0">
              <w:rPr>
                <w:rFonts w:cs="Arial"/>
                <w:b/>
                <w:sz w:val="20"/>
                <w:szCs w:val="20"/>
              </w:rPr>
              <w:t>FORMAT</w:t>
            </w:r>
            <w:r w:rsidR="00F049F0"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</w:p>
          <w:p w14:paraId="2B51DA22" w14:textId="26C33690" w:rsidR="001A1FC8" w:rsidRPr="00705AAD" w:rsidRDefault="001A1FC8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6" w:type="dxa"/>
          </w:tcPr>
          <w:p w14:paraId="7E2A0325" w14:textId="77777777" w:rsidR="009737A8" w:rsidRPr="00700BE6" w:rsidRDefault="004641A2" w:rsidP="004240A2">
            <w:r w:rsidRPr="00780FBF">
              <w:t>Face to face, in classroom.</w:t>
            </w:r>
          </w:p>
        </w:tc>
      </w:tr>
      <w:tr w:rsidR="000F4FD4" w:rsidRPr="00BF6CD5" w14:paraId="4F1EF9DD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7FE5BAA3" w14:textId="77777777" w:rsidR="000F4FD4" w:rsidRPr="00E6182E" w:rsidRDefault="002E3C95" w:rsidP="007673F3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E6182E">
              <w:rPr>
                <w:rFonts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2B35EF02" w14:textId="77777777" w:rsidR="000F4FD4" w:rsidRPr="00780FBF" w:rsidRDefault="004641A2" w:rsidP="00780FBF">
            <w:r w:rsidRPr="00780FBF">
              <w:t>Learning process support through the e-class online platform.</w:t>
            </w:r>
          </w:p>
        </w:tc>
      </w:tr>
      <w:tr w:rsidR="000F4FD4" w:rsidRPr="00705AAD" w14:paraId="0D16264F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726480D4" w14:textId="77777777" w:rsidR="000F4FD4" w:rsidRPr="00705AAD" w:rsidRDefault="00F049F0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TEACHING </w:t>
            </w:r>
            <w:r>
              <w:rPr>
                <w:rFonts w:cs="Arial"/>
                <w:b/>
                <w:sz w:val="20"/>
                <w:szCs w:val="20"/>
                <w:lang w:val="el-GR"/>
              </w:rPr>
              <w:t>STRUCTURE</w:t>
            </w:r>
          </w:p>
          <w:p w14:paraId="5C2DA26C" w14:textId="77777777" w:rsidR="000F4FD4" w:rsidRPr="00705AAD" w:rsidRDefault="000F4FD4" w:rsidP="007673F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  <w:p w14:paraId="5DBCF1C2" w14:textId="59DC445A" w:rsidR="000F4FD4" w:rsidRPr="00705AAD" w:rsidRDefault="000F4FD4" w:rsidP="007673F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1697"/>
            </w:tblGrid>
            <w:tr w:rsidR="003457C6" w:rsidRPr="003457C6" w14:paraId="4F5AEAB6" w14:textId="77777777" w:rsidTr="00700BE6">
              <w:tc>
                <w:tcPr>
                  <w:tcW w:w="3238" w:type="dxa"/>
                  <w:shd w:val="clear" w:color="auto" w:fill="DDD9C3" w:themeFill="background2" w:themeFillShade="E6"/>
                  <w:vAlign w:val="center"/>
                </w:tcPr>
                <w:p w14:paraId="3493883A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Activity</w:t>
                  </w:r>
                </w:p>
              </w:tc>
              <w:tc>
                <w:tcPr>
                  <w:tcW w:w="1697" w:type="dxa"/>
                  <w:shd w:val="clear" w:color="auto" w:fill="DDD9C3" w:themeFill="background2" w:themeFillShade="E6"/>
                  <w:vAlign w:val="center"/>
                </w:tcPr>
                <w:p w14:paraId="1ADDF05D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Semester Workload</w:t>
                  </w:r>
                </w:p>
              </w:tc>
            </w:tr>
            <w:tr w:rsidR="003457C6" w:rsidRPr="003457C6" w14:paraId="2486C387" w14:textId="77777777" w:rsidTr="00700BE6">
              <w:tc>
                <w:tcPr>
                  <w:tcW w:w="3238" w:type="dxa"/>
                </w:tcPr>
                <w:p w14:paraId="6DEB3A88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Lectures, Seminars</w:t>
                  </w:r>
                </w:p>
              </w:tc>
              <w:tc>
                <w:tcPr>
                  <w:tcW w:w="1697" w:type="dxa"/>
                </w:tcPr>
                <w:p w14:paraId="74315B41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3457C6" w:rsidRPr="003457C6" w14:paraId="4E65146E" w14:textId="77777777" w:rsidTr="00700BE6">
              <w:tc>
                <w:tcPr>
                  <w:tcW w:w="3238" w:type="dxa"/>
                  <w:shd w:val="clear" w:color="auto" w:fill="auto"/>
                </w:tcPr>
                <w:p w14:paraId="6107CFB5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Presentation preparation</w:t>
                  </w:r>
                </w:p>
              </w:tc>
              <w:tc>
                <w:tcPr>
                  <w:tcW w:w="1697" w:type="dxa"/>
                </w:tcPr>
                <w:p w14:paraId="03B83F67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21</w:t>
                  </w:r>
                </w:p>
              </w:tc>
            </w:tr>
            <w:tr w:rsidR="003457C6" w:rsidRPr="003457C6" w14:paraId="62550868" w14:textId="77777777" w:rsidTr="00700BE6">
              <w:tc>
                <w:tcPr>
                  <w:tcW w:w="3238" w:type="dxa"/>
                  <w:shd w:val="clear" w:color="auto" w:fill="auto"/>
                </w:tcPr>
                <w:p w14:paraId="16CD9AC7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Independent study</w:t>
                  </w:r>
                </w:p>
              </w:tc>
              <w:tc>
                <w:tcPr>
                  <w:tcW w:w="1697" w:type="dxa"/>
                </w:tcPr>
                <w:p w14:paraId="68B77D76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3A2D4993" w14:textId="77777777" w:rsidTr="00700BE6">
              <w:tc>
                <w:tcPr>
                  <w:tcW w:w="3238" w:type="dxa"/>
                  <w:shd w:val="clear" w:color="auto" w:fill="auto"/>
                </w:tcPr>
                <w:p w14:paraId="7330773D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Project (paper preparation and submission</w:t>
                  </w:r>
                </w:p>
              </w:tc>
              <w:tc>
                <w:tcPr>
                  <w:tcW w:w="1697" w:type="dxa"/>
                </w:tcPr>
                <w:p w14:paraId="255B49DC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508F67D3" w14:textId="77777777" w:rsidTr="00700BE6">
              <w:tc>
                <w:tcPr>
                  <w:tcW w:w="3238" w:type="dxa"/>
                </w:tcPr>
                <w:p w14:paraId="766C5F45" w14:textId="77777777" w:rsidR="003457C6" w:rsidRPr="00680A53" w:rsidRDefault="003457C6" w:rsidP="003457C6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80A53">
                    <w:rPr>
                      <w:b/>
                      <w:iCs/>
                      <w:sz w:val="22"/>
                      <w:szCs w:val="22"/>
                    </w:rPr>
                    <w:t>Total</w:t>
                  </w:r>
                </w:p>
                <w:p w14:paraId="368FD639" w14:textId="77777777" w:rsidR="0071030B" w:rsidRPr="003457C6" w:rsidRDefault="003457C6" w:rsidP="003457C6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(30 hours of work per credit unit)</w:t>
                  </w:r>
                </w:p>
              </w:tc>
              <w:tc>
                <w:tcPr>
                  <w:tcW w:w="1697" w:type="dxa"/>
                  <w:vAlign w:val="center"/>
                </w:tcPr>
                <w:p w14:paraId="471A21CC" w14:textId="77777777" w:rsidR="000F4FD4" w:rsidRPr="003457C6" w:rsidRDefault="0071030B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300</w:t>
                  </w:r>
                </w:p>
              </w:tc>
            </w:tr>
          </w:tbl>
          <w:p w14:paraId="288EE5E4" w14:textId="77777777" w:rsidR="000F4FD4" w:rsidRPr="00705AAD" w:rsidRDefault="000F4FD4" w:rsidP="007673F3">
            <w:pPr>
              <w:rPr>
                <w:rFonts w:ascii="Tahoma" w:hAnsi="Tahoma" w:cs="Tahoma"/>
              </w:rPr>
            </w:pPr>
          </w:p>
        </w:tc>
      </w:tr>
      <w:tr w:rsidR="00F37D73" w:rsidRPr="00705AAD" w14:paraId="2A79488C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5C86D4F" w14:textId="77777777" w:rsidR="00F37D73" w:rsidRPr="00705AAD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3457C6">
              <w:rPr>
                <w:rFonts w:cs="Arial"/>
                <w:b/>
                <w:sz w:val="20"/>
                <w:szCs w:val="20"/>
                <w:lang w:val="el-GR"/>
              </w:rPr>
              <w:lastRenderedPageBreak/>
              <w:t>STUDENT EVALUATION</w:t>
            </w:r>
          </w:p>
          <w:p w14:paraId="1516238D" w14:textId="77777777" w:rsidR="00F37D73" w:rsidRDefault="00F37D73" w:rsidP="00F37D7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  <w:p w14:paraId="14D25649" w14:textId="46034B47" w:rsidR="00F37D73" w:rsidRPr="00F049F0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444F733" w14:textId="77777777" w:rsidR="00F37D73" w:rsidRPr="002A248D" w:rsidRDefault="00F37D73" w:rsidP="00F37D73"/>
          <w:p w14:paraId="44CC40B6" w14:textId="77777777" w:rsidR="00F37D73" w:rsidRPr="003457C6" w:rsidRDefault="00F37D73" w:rsidP="00F37D73">
            <w:r w:rsidRPr="003457C6">
              <w:t>1. Active participation in the course and presentation (50%)</w:t>
            </w:r>
          </w:p>
          <w:p w14:paraId="6ADB5025" w14:textId="77777777" w:rsidR="00F37D73" w:rsidRPr="003457C6" w:rsidRDefault="00F37D73" w:rsidP="00F37D73">
            <w:r w:rsidRPr="003457C6">
              <w:t>2. Final essay (50%)</w:t>
            </w:r>
          </w:p>
          <w:p w14:paraId="7A9E86F6" w14:textId="77777777" w:rsidR="00F37D73" w:rsidRPr="003457C6" w:rsidRDefault="00F37D73" w:rsidP="00F37D73"/>
          <w:p w14:paraId="2EAC7E62" w14:textId="77777777" w:rsidR="00F37D73" w:rsidRPr="00F37D73" w:rsidRDefault="00F832C9" w:rsidP="00F37D73">
            <w:r>
              <w:t>[</w:t>
            </w:r>
            <w:r w:rsidR="00F37D73" w:rsidRPr="003457C6">
              <w:t>Assessment for the course will be based on performance throughout the semester, including participation and presentation, as well as a final essay. The presentations may serve as the foundation for the final essay, which is expected to be 6,000-9,000 words in length (including notes, but not the bibliography).</w:t>
            </w:r>
            <w:r>
              <w:t>]</w:t>
            </w:r>
          </w:p>
        </w:tc>
      </w:tr>
    </w:tbl>
    <w:p w14:paraId="09E0FFA0" w14:textId="77777777" w:rsidR="003457C6" w:rsidRDefault="003457C6" w:rsidP="003457C6"/>
    <w:p w14:paraId="17BB4BA9" w14:textId="77777777" w:rsidR="003457C6" w:rsidRDefault="003457C6" w:rsidP="003457C6"/>
    <w:p w14:paraId="07523E28" w14:textId="77777777" w:rsidR="000F4FD4" w:rsidRPr="003457C6" w:rsidRDefault="003457C6" w:rsidP="003457C6">
      <w:pPr>
        <w:rPr>
          <w:b/>
        </w:rPr>
      </w:pPr>
      <w:r w:rsidRPr="003457C6">
        <w:rPr>
          <w:b/>
        </w:rPr>
        <w:t>(5) RECOMMENDED BIBLIOGRAPHY</w:t>
      </w:r>
    </w:p>
    <w:p w14:paraId="79273B00" w14:textId="77777777" w:rsidR="003457C6" w:rsidRPr="003457C6" w:rsidRDefault="003457C6" w:rsidP="003457C6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F4FD4" w:rsidRPr="00705AAD" w14:paraId="10FFD741" w14:textId="77777777" w:rsidTr="007673F3">
        <w:tc>
          <w:tcPr>
            <w:tcW w:w="8472" w:type="dxa"/>
          </w:tcPr>
          <w:p w14:paraId="710F7139" w14:textId="77777777" w:rsidR="0087399C" w:rsidRPr="00BC242A" w:rsidRDefault="0087399C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Α. </w:t>
            </w:r>
            <w:r w:rsidR="00B07B0C"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Primary Sources</w:t>
            </w:r>
            <w:r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940148C" w14:textId="5C0AC2DD" w:rsidR="002115AC" w:rsidRPr="00ED1AF4" w:rsidRDefault="002115AC" w:rsidP="002115AC">
            <w:pPr>
              <w:rPr>
                <w:rFonts w:cs="Calibri"/>
                <w:color w:val="000000"/>
                <w:szCs w:val="22"/>
                <w:lang w:val="fr-FR"/>
              </w:rPr>
            </w:pPr>
            <w:r w:rsidRPr="00ED1AF4">
              <w:rPr>
                <w:rFonts w:ascii="Aptos" w:hAnsi="Aptos" w:cs="Calibri"/>
                <w:b/>
                <w:bCs/>
                <w:color w:val="000000"/>
                <w:szCs w:val="22"/>
                <w:lang w:val="fr-FR"/>
              </w:rPr>
              <w:t>Aristippus</w:t>
            </w:r>
            <w:r w:rsidRPr="00ED1AF4">
              <w:rPr>
                <w:rFonts w:ascii="Aptos" w:hAnsi="Aptos" w:cs="Calibri"/>
                <w:color w:val="000000"/>
                <w:szCs w:val="22"/>
                <w:lang w:val="fr-FR"/>
              </w:rPr>
              <w:t xml:space="preserve"> </w:t>
            </w:r>
            <w:r w:rsidR="00A81848" w:rsidRPr="00ED1AF4">
              <w:rPr>
                <w:rFonts w:ascii="Aptos" w:hAnsi="Aptos" w:cs="Calibri"/>
                <w:color w:val="000000"/>
                <w:szCs w:val="22"/>
                <w:lang w:val="fr-FR"/>
              </w:rPr>
              <w:t xml:space="preserve">source: </w:t>
            </w:r>
            <w:r w:rsidR="00A81848" w:rsidRPr="00ED1AF4">
              <w:rPr>
                <w:rFonts w:ascii="Aptos" w:hAnsi="Aptos" w:cs="Calibri"/>
                <w:b/>
                <w:bCs/>
                <w:color w:val="000000"/>
                <w:szCs w:val="22"/>
                <w:lang w:val="fr-FR"/>
              </w:rPr>
              <w:t>D</w:t>
            </w:r>
            <w:r w:rsidR="00A81848" w:rsidRPr="00ED1AF4">
              <w:rPr>
                <w:rFonts w:ascii="Aptos" w:hAnsi="Aptos" w:cs="Calibri"/>
                <w:color w:val="000000"/>
                <w:szCs w:val="22"/>
                <w:lang w:val="fr-FR"/>
              </w:rPr>
              <w:t xml:space="preserve">iogenes </w:t>
            </w:r>
            <w:r w:rsidR="00A81848" w:rsidRPr="00ED1AF4">
              <w:rPr>
                <w:rFonts w:ascii="Aptos" w:hAnsi="Aptos" w:cs="Calibri"/>
                <w:b/>
                <w:bCs/>
                <w:color w:val="000000"/>
                <w:szCs w:val="22"/>
                <w:lang w:val="fr-FR"/>
              </w:rPr>
              <w:t>L</w:t>
            </w:r>
            <w:r w:rsidR="00A81848" w:rsidRPr="00ED1AF4">
              <w:rPr>
                <w:rFonts w:ascii="Aptos" w:hAnsi="Aptos" w:cs="Calibri"/>
                <w:color w:val="000000"/>
                <w:szCs w:val="22"/>
                <w:lang w:val="fr-FR"/>
              </w:rPr>
              <w:t xml:space="preserve">aertius </w:t>
            </w:r>
            <w:r w:rsidR="00A81848" w:rsidRPr="00ED1AF4">
              <w:rPr>
                <w:rFonts w:ascii="Aptos" w:hAnsi="Aptos" w:cs="Calibri"/>
                <w:b/>
                <w:bCs/>
                <w:color w:val="000000"/>
                <w:szCs w:val="22"/>
                <w:lang w:val="fr-FR"/>
              </w:rPr>
              <w:t xml:space="preserve">II, </w:t>
            </w:r>
            <w:r w:rsidR="00A81848" w:rsidRPr="00ED1AF4">
              <w:rPr>
                <w:rFonts w:ascii="Aptos" w:hAnsi="Aptos" w:cs="Calibri"/>
                <w:color w:val="000000"/>
                <w:szCs w:val="22"/>
                <w:lang w:val="fr-FR"/>
              </w:rPr>
              <w:t>65-97.</w:t>
            </w:r>
          </w:p>
          <w:p w14:paraId="5A61408F" w14:textId="25DA677D" w:rsidR="002115AC" w:rsidRPr="00121427" w:rsidRDefault="002115AC" w:rsidP="002115AC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121427">
              <w:rPr>
                <w:rFonts w:ascii="Aptos" w:hAnsi="Aptos" w:cs="Calibri"/>
                <w:b/>
                <w:bCs/>
                <w:color w:val="000000"/>
                <w:szCs w:val="22"/>
              </w:rPr>
              <w:t>Plato</w:t>
            </w:r>
          </w:p>
          <w:p w14:paraId="5FF697E5" w14:textId="3ADCD8DA" w:rsidR="002115AC" w:rsidRPr="001A1FC8" w:rsidRDefault="002115AC" w:rsidP="002115AC">
            <w:pPr>
              <w:rPr>
                <w:rFonts w:cs="Calibri"/>
                <w:color w:val="000000"/>
                <w:szCs w:val="22"/>
                <w:lang w:val="es-ES"/>
              </w:rPr>
            </w:pPr>
            <w:r w:rsidRPr="001A1FC8">
              <w:rPr>
                <w:rFonts w:ascii="Aptos" w:hAnsi="Aptos" w:cs="Calibri"/>
                <w:i/>
                <w:iCs/>
                <w:color w:val="000000"/>
                <w:szCs w:val="22"/>
                <w:lang w:val="es-ES"/>
              </w:rPr>
              <w:t>Protagoras</w:t>
            </w:r>
          </w:p>
          <w:p w14:paraId="122E2641" w14:textId="77777777" w:rsidR="002115AC" w:rsidRPr="001A1FC8" w:rsidRDefault="002115AC" w:rsidP="002115AC">
            <w:pPr>
              <w:rPr>
                <w:rFonts w:cs="Calibri"/>
                <w:color w:val="000000"/>
                <w:szCs w:val="22"/>
                <w:lang w:val="es-ES"/>
              </w:rPr>
            </w:pPr>
            <w:r w:rsidRPr="001A1FC8">
              <w:rPr>
                <w:rFonts w:ascii="Aptos" w:hAnsi="Aptos" w:cs="Calibri"/>
                <w:i/>
                <w:iCs/>
                <w:color w:val="000000"/>
                <w:szCs w:val="22"/>
                <w:lang w:val="es-ES"/>
              </w:rPr>
              <w:t>Hippias Minor</w:t>
            </w:r>
          </w:p>
          <w:p w14:paraId="0F7E3AF9" w14:textId="45C8D8EF" w:rsidR="002115AC" w:rsidRPr="001A1FC8" w:rsidRDefault="002115AC" w:rsidP="002115AC">
            <w:pPr>
              <w:rPr>
                <w:rFonts w:cs="Calibri"/>
                <w:color w:val="000000"/>
                <w:szCs w:val="22"/>
                <w:lang w:val="es-ES"/>
              </w:rPr>
            </w:pPr>
            <w:r w:rsidRPr="001A1FC8">
              <w:rPr>
                <w:rFonts w:ascii="Aptos" w:hAnsi="Aptos" w:cs="Calibri"/>
                <w:i/>
                <w:iCs/>
                <w:color w:val="000000"/>
                <w:szCs w:val="22"/>
                <w:lang w:val="es-ES"/>
              </w:rPr>
              <w:t>Euthydemus</w:t>
            </w:r>
            <w:r w:rsidR="009903A6" w:rsidRPr="001A1FC8">
              <w:rPr>
                <w:rFonts w:ascii="Aptos" w:hAnsi="Aptos" w:cs="Calibri"/>
                <w:color w:val="000000"/>
                <w:szCs w:val="22"/>
                <w:lang w:val="es-ES"/>
              </w:rPr>
              <w:t xml:space="preserve"> (278e-281e)</w:t>
            </w:r>
          </w:p>
          <w:p w14:paraId="78A90E23" w14:textId="77777777" w:rsidR="002115AC" w:rsidRPr="00121427" w:rsidRDefault="002115AC" w:rsidP="002115AC">
            <w:pPr>
              <w:rPr>
                <w:rFonts w:cs="Calibri"/>
                <w:color w:val="000000"/>
                <w:szCs w:val="22"/>
              </w:rPr>
            </w:pPr>
            <w:r w:rsidRPr="00121427">
              <w:rPr>
                <w:rFonts w:ascii="Aptos" w:hAnsi="Aptos" w:cs="Calibri"/>
                <w:i/>
                <w:iCs/>
                <w:color w:val="000000"/>
                <w:szCs w:val="22"/>
              </w:rPr>
              <w:t>Gorgias</w:t>
            </w:r>
          </w:p>
          <w:p w14:paraId="089050F3" w14:textId="0AE15D4F" w:rsidR="002115AC" w:rsidRPr="001B4224" w:rsidRDefault="002115AC" w:rsidP="002115AC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="Aptos" w:hAnsi="Aptos" w:cs="Calibri"/>
                <w:i/>
                <w:iCs/>
                <w:color w:val="000000"/>
                <w:szCs w:val="22"/>
              </w:rPr>
              <w:t>Phaedo</w:t>
            </w:r>
            <w:r w:rsidR="001B4224">
              <w:rPr>
                <w:rFonts w:ascii="Aptos" w:hAnsi="Aptos" w:cs="Calibri"/>
                <w:color w:val="000000"/>
                <w:szCs w:val="22"/>
              </w:rPr>
              <w:t xml:space="preserve"> (64a-84b)</w:t>
            </w:r>
          </w:p>
          <w:p w14:paraId="237E33E6" w14:textId="77777777" w:rsidR="002115AC" w:rsidRDefault="002115AC" w:rsidP="002115AC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="Aptos" w:hAnsi="Aptos" w:cs="Calibri"/>
                <w:i/>
                <w:iCs/>
                <w:color w:val="000000"/>
                <w:szCs w:val="22"/>
              </w:rPr>
              <w:t>Republic</w:t>
            </w:r>
            <w:r>
              <w:rPr>
                <w:rStyle w:val="apple-converted-space"/>
                <w:rFonts w:ascii="Aptos" w:hAnsi="Aptos" w:cs="Calibri"/>
                <w:color w:val="000000"/>
                <w:szCs w:val="22"/>
              </w:rPr>
              <w:t> </w:t>
            </w:r>
            <w:r>
              <w:rPr>
                <w:rFonts w:ascii="Aptos" w:hAnsi="Aptos" w:cs="Calibri"/>
                <w:color w:val="000000"/>
                <w:szCs w:val="22"/>
              </w:rPr>
              <w:t>9</w:t>
            </w:r>
          </w:p>
          <w:p w14:paraId="3B99CC2E" w14:textId="4CDD4BCB" w:rsidR="002115AC" w:rsidRPr="001B4224" w:rsidRDefault="002115AC" w:rsidP="002115AC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="Aptos" w:hAnsi="Aptos" w:cs="Calibri"/>
                <w:i/>
                <w:iCs/>
                <w:color w:val="000000"/>
                <w:szCs w:val="22"/>
              </w:rPr>
              <w:t>Philebus</w:t>
            </w:r>
            <w:r w:rsidR="001B4224">
              <w:rPr>
                <w:rFonts w:ascii="Aptos" w:hAnsi="Aptos" w:cs="Calibri"/>
                <w:color w:val="000000"/>
                <w:szCs w:val="22"/>
              </w:rPr>
              <w:t xml:space="preserve"> (20b-23</w:t>
            </w:r>
            <w:r w:rsidR="001F3B66">
              <w:rPr>
                <w:rFonts w:ascii="Aptos" w:hAnsi="Aptos" w:cs="Calibri"/>
                <w:color w:val="000000"/>
                <w:szCs w:val="22"/>
              </w:rPr>
              <w:t>b; 36c-55c</w:t>
            </w:r>
          </w:p>
          <w:p w14:paraId="163AE172" w14:textId="77777777" w:rsidR="002115AC" w:rsidRDefault="002115AC" w:rsidP="002115AC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="Aptos" w:hAnsi="Aptos" w:cs="Calibri"/>
                <w:i/>
                <w:iCs/>
                <w:color w:val="000000"/>
                <w:szCs w:val="22"/>
              </w:rPr>
              <w:t>Laws</w:t>
            </w:r>
            <w:r>
              <w:rPr>
                <w:rStyle w:val="apple-converted-space"/>
                <w:rFonts w:ascii="Aptos" w:hAnsi="Aptos" w:cs="Calibri"/>
                <w:i/>
                <w:iCs/>
                <w:color w:val="000000"/>
                <w:szCs w:val="22"/>
              </w:rPr>
              <w:t> </w:t>
            </w:r>
            <w:r>
              <w:rPr>
                <w:rFonts w:ascii="Aptos" w:hAnsi="Aptos" w:cs="Calibri"/>
                <w:color w:val="000000"/>
                <w:szCs w:val="22"/>
              </w:rPr>
              <w:t>1 &amp; 2</w:t>
            </w:r>
          </w:p>
          <w:p w14:paraId="67D330D1" w14:textId="77777777" w:rsidR="0087399C" w:rsidRPr="00BC242A" w:rsidRDefault="0087399C" w:rsidP="0087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4A548" w14:textId="77777777" w:rsidR="0087399C" w:rsidRPr="00BC242A" w:rsidRDefault="0087399C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Β. </w:t>
            </w:r>
            <w:r w:rsidR="00B07B0C"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Secondary Bibliography</w:t>
            </w:r>
            <w:r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DF74A95" w14:textId="77777777" w:rsidR="0087399C" w:rsidRPr="00BC242A" w:rsidRDefault="0087399C" w:rsidP="0087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4DD9D" w14:textId="77777777" w:rsidR="0087399C" w:rsidRPr="00BC242A" w:rsidRDefault="008D1DB3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7399C"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B07B0C"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Resources on the Web</w:t>
            </w:r>
            <w:r w:rsidR="0087399C" w:rsidRPr="00BC242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8163C79" w14:textId="77777777" w:rsidR="0087399C" w:rsidRPr="00BC242A" w:rsidRDefault="0087399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AAFAB" w14:textId="77777777" w:rsidR="00B07B0C" w:rsidRPr="00BC242A" w:rsidRDefault="00B07B0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2186D" w14:textId="77777777" w:rsidR="00B07B0C" w:rsidRPr="00BC242A" w:rsidRDefault="00B07B0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1F1A14B" w14:textId="77777777" w:rsidR="000F4FD4" w:rsidRPr="002A248D" w:rsidRDefault="000F4FD4" w:rsidP="000F4FD4">
      <w:pPr>
        <w:rPr>
          <w:rFonts w:ascii="Cambria" w:hAnsi="Cambria"/>
          <w:b/>
          <w:bCs/>
          <w:sz w:val="28"/>
        </w:rPr>
      </w:pPr>
    </w:p>
    <w:sectPr w:rsidR="000F4FD4" w:rsidRPr="002A248D" w:rsidSect="009C028C">
      <w:headerReference w:type="even" r:id="rId7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9E4B" w14:textId="77777777" w:rsidR="0036235D" w:rsidRDefault="0036235D">
      <w:r>
        <w:separator/>
      </w:r>
    </w:p>
  </w:endnote>
  <w:endnote w:type="continuationSeparator" w:id="0">
    <w:p w14:paraId="1FE6C6ED" w14:textId="77777777" w:rsidR="0036235D" w:rsidRDefault="003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039D" w14:textId="77777777" w:rsidR="0036235D" w:rsidRDefault="0036235D">
      <w:r>
        <w:separator/>
      </w:r>
    </w:p>
  </w:footnote>
  <w:footnote w:type="continuationSeparator" w:id="0">
    <w:p w14:paraId="61D06B3D" w14:textId="77777777" w:rsidR="0036235D" w:rsidRDefault="0036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103" w14:textId="77777777" w:rsidR="007673F3" w:rsidRDefault="00767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874C3" w14:textId="77777777" w:rsidR="007673F3" w:rsidRDefault="007673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DD4"/>
    <w:multiLevelType w:val="hybridMultilevel"/>
    <w:tmpl w:val="70945A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D4CD9"/>
    <w:multiLevelType w:val="hybridMultilevel"/>
    <w:tmpl w:val="CD443CF6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817"/>
    <w:multiLevelType w:val="multilevel"/>
    <w:tmpl w:val="AC1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71298"/>
    <w:multiLevelType w:val="hybridMultilevel"/>
    <w:tmpl w:val="2C6A2CE8"/>
    <w:lvl w:ilvl="0" w:tplc="5590C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6D4E"/>
    <w:multiLevelType w:val="hybridMultilevel"/>
    <w:tmpl w:val="4F086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07537"/>
    <w:multiLevelType w:val="hybridMultilevel"/>
    <w:tmpl w:val="0C848CB8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637830491">
    <w:abstractNumId w:val="1"/>
  </w:num>
  <w:num w:numId="2" w16cid:durableId="1161311237">
    <w:abstractNumId w:val="8"/>
  </w:num>
  <w:num w:numId="3" w16cid:durableId="1006440440">
    <w:abstractNumId w:val="5"/>
  </w:num>
  <w:num w:numId="4" w16cid:durableId="27031914">
    <w:abstractNumId w:val="3"/>
  </w:num>
  <w:num w:numId="5" w16cid:durableId="1182545569">
    <w:abstractNumId w:val="6"/>
  </w:num>
  <w:num w:numId="6" w16cid:durableId="305936979">
    <w:abstractNumId w:val="4"/>
  </w:num>
  <w:num w:numId="7" w16cid:durableId="447748586">
    <w:abstractNumId w:val="0"/>
  </w:num>
  <w:num w:numId="8" w16cid:durableId="1646348244">
    <w:abstractNumId w:val="7"/>
  </w:num>
  <w:num w:numId="9" w16cid:durableId="145347720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AA2"/>
    <w:rsid w:val="0005007E"/>
    <w:rsid w:val="00052058"/>
    <w:rsid w:val="0005657A"/>
    <w:rsid w:val="00056B96"/>
    <w:rsid w:val="000571FD"/>
    <w:rsid w:val="00061ACD"/>
    <w:rsid w:val="00061CF6"/>
    <w:rsid w:val="000635AB"/>
    <w:rsid w:val="00063755"/>
    <w:rsid w:val="00063E63"/>
    <w:rsid w:val="00065255"/>
    <w:rsid w:val="0006742F"/>
    <w:rsid w:val="00067ECF"/>
    <w:rsid w:val="00070A59"/>
    <w:rsid w:val="0007233C"/>
    <w:rsid w:val="00072541"/>
    <w:rsid w:val="000728A8"/>
    <w:rsid w:val="00074104"/>
    <w:rsid w:val="000747CB"/>
    <w:rsid w:val="00074A3F"/>
    <w:rsid w:val="00081F0F"/>
    <w:rsid w:val="000829CE"/>
    <w:rsid w:val="0008519E"/>
    <w:rsid w:val="000863B9"/>
    <w:rsid w:val="00086844"/>
    <w:rsid w:val="00090252"/>
    <w:rsid w:val="00090277"/>
    <w:rsid w:val="00091F9F"/>
    <w:rsid w:val="00092A6D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1F66"/>
    <w:rsid w:val="000C3A17"/>
    <w:rsid w:val="000C4334"/>
    <w:rsid w:val="000C4E47"/>
    <w:rsid w:val="000D066F"/>
    <w:rsid w:val="000D135A"/>
    <w:rsid w:val="000D1CF6"/>
    <w:rsid w:val="000D3ACC"/>
    <w:rsid w:val="000D4885"/>
    <w:rsid w:val="000D4B88"/>
    <w:rsid w:val="000D5EC2"/>
    <w:rsid w:val="000D6BAA"/>
    <w:rsid w:val="000E0695"/>
    <w:rsid w:val="000E06F0"/>
    <w:rsid w:val="000E0F94"/>
    <w:rsid w:val="000E1343"/>
    <w:rsid w:val="000E1AA6"/>
    <w:rsid w:val="000E2606"/>
    <w:rsid w:val="000E3FF4"/>
    <w:rsid w:val="000E42EA"/>
    <w:rsid w:val="000E6CD4"/>
    <w:rsid w:val="000E7600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1427"/>
    <w:rsid w:val="001220F6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1016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1FC8"/>
    <w:rsid w:val="001A33E9"/>
    <w:rsid w:val="001A58AA"/>
    <w:rsid w:val="001A5D1A"/>
    <w:rsid w:val="001A65BD"/>
    <w:rsid w:val="001A6E29"/>
    <w:rsid w:val="001A75E5"/>
    <w:rsid w:val="001B2C9D"/>
    <w:rsid w:val="001B36BC"/>
    <w:rsid w:val="001B4224"/>
    <w:rsid w:val="001B42AA"/>
    <w:rsid w:val="001B5AF1"/>
    <w:rsid w:val="001B647B"/>
    <w:rsid w:val="001B78EE"/>
    <w:rsid w:val="001C2D16"/>
    <w:rsid w:val="001C37B5"/>
    <w:rsid w:val="001C45DD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B66"/>
    <w:rsid w:val="001F3DA3"/>
    <w:rsid w:val="001F3F58"/>
    <w:rsid w:val="001F4EE0"/>
    <w:rsid w:val="00205B36"/>
    <w:rsid w:val="002074B4"/>
    <w:rsid w:val="002077B9"/>
    <w:rsid w:val="00207E32"/>
    <w:rsid w:val="002115AC"/>
    <w:rsid w:val="00212148"/>
    <w:rsid w:val="002130EC"/>
    <w:rsid w:val="00213626"/>
    <w:rsid w:val="00214401"/>
    <w:rsid w:val="00214E59"/>
    <w:rsid w:val="00216F25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2D46"/>
    <w:rsid w:val="00265F0D"/>
    <w:rsid w:val="002706A7"/>
    <w:rsid w:val="00271BEE"/>
    <w:rsid w:val="00271F7D"/>
    <w:rsid w:val="00272884"/>
    <w:rsid w:val="0027626F"/>
    <w:rsid w:val="00276F93"/>
    <w:rsid w:val="00277781"/>
    <w:rsid w:val="00280486"/>
    <w:rsid w:val="00280BFE"/>
    <w:rsid w:val="0028166F"/>
    <w:rsid w:val="00282FAB"/>
    <w:rsid w:val="00285D8B"/>
    <w:rsid w:val="00286A85"/>
    <w:rsid w:val="002874EB"/>
    <w:rsid w:val="0029057A"/>
    <w:rsid w:val="00296F0C"/>
    <w:rsid w:val="002A03B0"/>
    <w:rsid w:val="002A157B"/>
    <w:rsid w:val="002A211F"/>
    <w:rsid w:val="002A248D"/>
    <w:rsid w:val="002A44CF"/>
    <w:rsid w:val="002A5183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3C95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365F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51AC"/>
    <w:rsid w:val="003379E6"/>
    <w:rsid w:val="003403BB"/>
    <w:rsid w:val="0034072B"/>
    <w:rsid w:val="00341341"/>
    <w:rsid w:val="003439C9"/>
    <w:rsid w:val="003445BF"/>
    <w:rsid w:val="00344ABE"/>
    <w:rsid w:val="003457C6"/>
    <w:rsid w:val="003502E3"/>
    <w:rsid w:val="00350F13"/>
    <w:rsid w:val="00352D0C"/>
    <w:rsid w:val="00353C50"/>
    <w:rsid w:val="00354399"/>
    <w:rsid w:val="00355C87"/>
    <w:rsid w:val="003561DF"/>
    <w:rsid w:val="0035685C"/>
    <w:rsid w:val="003575C7"/>
    <w:rsid w:val="00361F67"/>
    <w:rsid w:val="0036235D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395E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1F5D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38E8"/>
    <w:rsid w:val="00404C74"/>
    <w:rsid w:val="0041056C"/>
    <w:rsid w:val="004107EF"/>
    <w:rsid w:val="00410B27"/>
    <w:rsid w:val="00412F02"/>
    <w:rsid w:val="00413423"/>
    <w:rsid w:val="0041592E"/>
    <w:rsid w:val="00417268"/>
    <w:rsid w:val="00420A16"/>
    <w:rsid w:val="00420B9D"/>
    <w:rsid w:val="004216E3"/>
    <w:rsid w:val="0042341E"/>
    <w:rsid w:val="004240A2"/>
    <w:rsid w:val="00427915"/>
    <w:rsid w:val="00432460"/>
    <w:rsid w:val="00433C56"/>
    <w:rsid w:val="00434C31"/>
    <w:rsid w:val="004352B8"/>
    <w:rsid w:val="004354B5"/>
    <w:rsid w:val="0043586C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643E"/>
    <w:rsid w:val="00457321"/>
    <w:rsid w:val="00457F58"/>
    <w:rsid w:val="00460312"/>
    <w:rsid w:val="00460C82"/>
    <w:rsid w:val="00460EF8"/>
    <w:rsid w:val="00462380"/>
    <w:rsid w:val="004641A2"/>
    <w:rsid w:val="004655D5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86276"/>
    <w:rsid w:val="00486306"/>
    <w:rsid w:val="0049018B"/>
    <w:rsid w:val="0049055C"/>
    <w:rsid w:val="00490587"/>
    <w:rsid w:val="00490657"/>
    <w:rsid w:val="00490903"/>
    <w:rsid w:val="00492638"/>
    <w:rsid w:val="00495E55"/>
    <w:rsid w:val="0049775F"/>
    <w:rsid w:val="00497B98"/>
    <w:rsid w:val="004A0629"/>
    <w:rsid w:val="004A1AD6"/>
    <w:rsid w:val="004A2870"/>
    <w:rsid w:val="004A2D2C"/>
    <w:rsid w:val="004A2F47"/>
    <w:rsid w:val="004A7888"/>
    <w:rsid w:val="004B22B4"/>
    <w:rsid w:val="004B2B07"/>
    <w:rsid w:val="004B2FD4"/>
    <w:rsid w:val="004B5FA0"/>
    <w:rsid w:val="004B66A4"/>
    <w:rsid w:val="004B759D"/>
    <w:rsid w:val="004B7CDA"/>
    <w:rsid w:val="004C0CD5"/>
    <w:rsid w:val="004C3F1C"/>
    <w:rsid w:val="004C6042"/>
    <w:rsid w:val="004C6CEE"/>
    <w:rsid w:val="004C6E71"/>
    <w:rsid w:val="004C7FD9"/>
    <w:rsid w:val="004D1BE5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E7E0A"/>
    <w:rsid w:val="004F14DF"/>
    <w:rsid w:val="004F2431"/>
    <w:rsid w:val="004F3901"/>
    <w:rsid w:val="004F41D3"/>
    <w:rsid w:val="004F6858"/>
    <w:rsid w:val="004F6C27"/>
    <w:rsid w:val="004F6D2C"/>
    <w:rsid w:val="004F7794"/>
    <w:rsid w:val="00502733"/>
    <w:rsid w:val="00502E98"/>
    <w:rsid w:val="00504010"/>
    <w:rsid w:val="0050455A"/>
    <w:rsid w:val="00505DA5"/>
    <w:rsid w:val="00507E7F"/>
    <w:rsid w:val="00510B88"/>
    <w:rsid w:val="00510FA5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152"/>
    <w:rsid w:val="005667DA"/>
    <w:rsid w:val="005712F1"/>
    <w:rsid w:val="0057137E"/>
    <w:rsid w:val="0057266B"/>
    <w:rsid w:val="00573222"/>
    <w:rsid w:val="00575CC1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47E6"/>
    <w:rsid w:val="005C51A0"/>
    <w:rsid w:val="005C6084"/>
    <w:rsid w:val="005D135D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F1D7B"/>
    <w:rsid w:val="00600396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7A06"/>
    <w:rsid w:val="00680A53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A0172"/>
    <w:rsid w:val="006A1698"/>
    <w:rsid w:val="006A6323"/>
    <w:rsid w:val="006A7193"/>
    <w:rsid w:val="006B0C77"/>
    <w:rsid w:val="006B1A7F"/>
    <w:rsid w:val="006B36B1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237A"/>
    <w:rsid w:val="006F6674"/>
    <w:rsid w:val="006F753E"/>
    <w:rsid w:val="0070027C"/>
    <w:rsid w:val="00700BE6"/>
    <w:rsid w:val="00701396"/>
    <w:rsid w:val="007025EC"/>
    <w:rsid w:val="00702B05"/>
    <w:rsid w:val="00704DB8"/>
    <w:rsid w:val="0070599F"/>
    <w:rsid w:val="00705AAD"/>
    <w:rsid w:val="0070630B"/>
    <w:rsid w:val="00706DDA"/>
    <w:rsid w:val="00707387"/>
    <w:rsid w:val="007073D0"/>
    <w:rsid w:val="0071030B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2E5E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1A2"/>
    <w:rsid w:val="00776DE6"/>
    <w:rsid w:val="0077774D"/>
    <w:rsid w:val="00780F21"/>
    <w:rsid w:val="00780FBF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955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7F5FDC"/>
    <w:rsid w:val="0080065F"/>
    <w:rsid w:val="008023B4"/>
    <w:rsid w:val="00803835"/>
    <w:rsid w:val="00804786"/>
    <w:rsid w:val="00804ED0"/>
    <w:rsid w:val="00805B3C"/>
    <w:rsid w:val="00812870"/>
    <w:rsid w:val="0081541E"/>
    <w:rsid w:val="00816AC1"/>
    <w:rsid w:val="00817494"/>
    <w:rsid w:val="00821D05"/>
    <w:rsid w:val="00823CF1"/>
    <w:rsid w:val="00825F04"/>
    <w:rsid w:val="0082674F"/>
    <w:rsid w:val="00826DBC"/>
    <w:rsid w:val="008310CB"/>
    <w:rsid w:val="008319C4"/>
    <w:rsid w:val="00831CE8"/>
    <w:rsid w:val="0083724C"/>
    <w:rsid w:val="00837289"/>
    <w:rsid w:val="00837BDE"/>
    <w:rsid w:val="008400D0"/>
    <w:rsid w:val="008441AC"/>
    <w:rsid w:val="008452A3"/>
    <w:rsid w:val="008467A5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295"/>
    <w:rsid w:val="008714FF"/>
    <w:rsid w:val="00872447"/>
    <w:rsid w:val="0087399C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1DB3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3AF1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579"/>
    <w:rsid w:val="0092212A"/>
    <w:rsid w:val="0092252B"/>
    <w:rsid w:val="00922677"/>
    <w:rsid w:val="009262FA"/>
    <w:rsid w:val="00926AEC"/>
    <w:rsid w:val="00927BCD"/>
    <w:rsid w:val="00927F42"/>
    <w:rsid w:val="009326C0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28F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2D53"/>
    <w:rsid w:val="009737A8"/>
    <w:rsid w:val="009754DE"/>
    <w:rsid w:val="009800BC"/>
    <w:rsid w:val="0098023E"/>
    <w:rsid w:val="00982D22"/>
    <w:rsid w:val="009830A7"/>
    <w:rsid w:val="00983485"/>
    <w:rsid w:val="00983C02"/>
    <w:rsid w:val="0098575F"/>
    <w:rsid w:val="00985BA3"/>
    <w:rsid w:val="009903A6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55CB"/>
    <w:rsid w:val="009B5646"/>
    <w:rsid w:val="009B638F"/>
    <w:rsid w:val="009B6E50"/>
    <w:rsid w:val="009C028C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5FB9"/>
    <w:rsid w:val="009E7779"/>
    <w:rsid w:val="009E7B07"/>
    <w:rsid w:val="009F6FEA"/>
    <w:rsid w:val="00A00113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5ED0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47B1A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3991"/>
    <w:rsid w:val="00A74316"/>
    <w:rsid w:val="00A76745"/>
    <w:rsid w:val="00A76ED5"/>
    <w:rsid w:val="00A7749E"/>
    <w:rsid w:val="00A8097B"/>
    <w:rsid w:val="00A810B4"/>
    <w:rsid w:val="00A810DA"/>
    <w:rsid w:val="00A81739"/>
    <w:rsid w:val="00A81848"/>
    <w:rsid w:val="00A84156"/>
    <w:rsid w:val="00A84681"/>
    <w:rsid w:val="00A8714C"/>
    <w:rsid w:val="00A8723B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050B"/>
    <w:rsid w:val="00B01560"/>
    <w:rsid w:val="00B03988"/>
    <w:rsid w:val="00B03B1E"/>
    <w:rsid w:val="00B04153"/>
    <w:rsid w:val="00B07B0C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4D8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C0EA8"/>
    <w:rsid w:val="00BC242A"/>
    <w:rsid w:val="00BC3BEF"/>
    <w:rsid w:val="00BC5C03"/>
    <w:rsid w:val="00BC6E04"/>
    <w:rsid w:val="00BC77EA"/>
    <w:rsid w:val="00BD0074"/>
    <w:rsid w:val="00BD1234"/>
    <w:rsid w:val="00BD2268"/>
    <w:rsid w:val="00BD39AA"/>
    <w:rsid w:val="00BD4825"/>
    <w:rsid w:val="00BD535A"/>
    <w:rsid w:val="00BD6C7F"/>
    <w:rsid w:val="00BD7C5E"/>
    <w:rsid w:val="00BE036B"/>
    <w:rsid w:val="00BE3AFE"/>
    <w:rsid w:val="00BE44AE"/>
    <w:rsid w:val="00BE4E8B"/>
    <w:rsid w:val="00BE505A"/>
    <w:rsid w:val="00BE5DFD"/>
    <w:rsid w:val="00BE5E89"/>
    <w:rsid w:val="00BE6EBC"/>
    <w:rsid w:val="00BF0CB0"/>
    <w:rsid w:val="00BF16C6"/>
    <w:rsid w:val="00BF23FA"/>
    <w:rsid w:val="00BF2C08"/>
    <w:rsid w:val="00BF2C6F"/>
    <w:rsid w:val="00BF3C69"/>
    <w:rsid w:val="00BF493F"/>
    <w:rsid w:val="00BF5351"/>
    <w:rsid w:val="00BF5542"/>
    <w:rsid w:val="00BF6CD5"/>
    <w:rsid w:val="00BF73CD"/>
    <w:rsid w:val="00C00B62"/>
    <w:rsid w:val="00C01797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460"/>
    <w:rsid w:val="00C33A80"/>
    <w:rsid w:val="00C33D83"/>
    <w:rsid w:val="00C363EF"/>
    <w:rsid w:val="00C37587"/>
    <w:rsid w:val="00C401C5"/>
    <w:rsid w:val="00C442C8"/>
    <w:rsid w:val="00C4452B"/>
    <w:rsid w:val="00C44C70"/>
    <w:rsid w:val="00C462AF"/>
    <w:rsid w:val="00C474E1"/>
    <w:rsid w:val="00C47DC1"/>
    <w:rsid w:val="00C5277B"/>
    <w:rsid w:val="00C52993"/>
    <w:rsid w:val="00C56E49"/>
    <w:rsid w:val="00C57BFA"/>
    <w:rsid w:val="00C603AF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5BF6"/>
    <w:rsid w:val="00C760A3"/>
    <w:rsid w:val="00C7650E"/>
    <w:rsid w:val="00C808E0"/>
    <w:rsid w:val="00C80950"/>
    <w:rsid w:val="00C80EAC"/>
    <w:rsid w:val="00C81911"/>
    <w:rsid w:val="00C831AD"/>
    <w:rsid w:val="00C8380C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2DF3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4F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319C"/>
    <w:rsid w:val="00D768ED"/>
    <w:rsid w:val="00D76EE7"/>
    <w:rsid w:val="00D7719E"/>
    <w:rsid w:val="00D7727E"/>
    <w:rsid w:val="00D77D26"/>
    <w:rsid w:val="00D812A3"/>
    <w:rsid w:val="00D819FF"/>
    <w:rsid w:val="00D85206"/>
    <w:rsid w:val="00D8525B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00E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3CAE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57AD8"/>
    <w:rsid w:val="00E60743"/>
    <w:rsid w:val="00E60995"/>
    <w:rsid w:val="00E60DB0"/>
    <w:rsid w:val="00E6182E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9765B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478C"/>
    <w:rsid w:val="00EC55CE"/>
    <w:rsid w:val="00EC65A8"/>
    <w:rsid w:val="00ED18C3"/>
    <w:rsid w:val="00ED1AF4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3B25"/>
    <w:rsid w:val="00F04933"/>
    <w:rsid w:val="00F049F0"/>
    <w:rsid w:val="00F04A53"/>
    <w:rsid w:val="00F04F1A"/>
    <w:rsid w:val="00F073CF"/>
    <w:rsid w:val="00F100F4"/>
    <w:rsid w:val="00F10C8D"/>
    <w:rsid w:val="00F11D9D"/>
    <w:rsid w:val="00F12920"/>
    <w:rsid w:val="00F13690"/>
    <w:rsid w:val="00F14F97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37D73"/>
    <w:rsid w:val="00F408A7"/>
    <w:rsid w:val="00F414D7"/>
    <w:rsid w:val="00F425F5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0657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2C9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2ED1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59F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48F8A"/>
  <w15:docId w15:val="{A4C1C769-EAA4-4018-A21A-6B844F8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3"/>
    <w:pPr>
      <w:widowControl w:val="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customStyle="1" w:styleId="Default">
    <w:name w:val="Default"/>
    <w:rsid w:val="00700B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locked/>
    <w:rsid w:val="001220F6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21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47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1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2669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3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2219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58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6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Panagiotis Thanassas</cp:lastModifiedBy>
  <cp:revision>3</cp:revision>
  <cp:lastPrinted>2014-04-24T14:33:00Z</cp:lastPrinted>
  <dcterms:created xsi:type="dcterms:W3CDTF">2025-01-04T16:38:00Z</dcterms:created>
  <dcterms:modified xsi:type="dcterms:W3CDTF">2025-01-04T16:49:00Z</dcterms:modified>
</cp:coreProperties>
</file>